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401唐山市委统战部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2163.52</w:t>
            </w:r>
          </w:p>
        </w:tc>
        <w:tc>
          <w:tcPr>
            <w:tcW w:w="4535" w:type="dxa"/>
            <w:vAlign w:val="center"/>
          </w:tcPr>
          <w:p>
            <w:pPr>
              <w:pStyle w:val="13"/>
            </w:pPr>
            <w:r>
              <w:t>一、一般公共服务支出</w:t>
            </w:r>
          </w:p>
        </w:tc>
        <w:tc>
          <w:tcPr>
            <w:tcW w:w="2126" w:type="dxa"/>
            <w:vAlign w:val="center"/>
          </w:tcPr>
          <w:p>
            <w:pPr>
              <w:pStyle w:val="12"/>
            </w:pPr>
            <w:r>
              <w:t>1747.24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36.93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2163.52</w:t>
            </w:r>
          </w:p>
        </w:tc>
        <w:tc>
          <w:tcPr>
            <w:tcW w:w="4535" w:type="dxa"/>
            <w:vAlign w:val="center"/>
          </w:tcPr>
          <w:p>
            <w:pPr>
              <w:pStyle w:val="15"/>
            </w:pPr>
            <w:r>
              <w:t>本年支出合计</w:t>
            </w:r>
          </w:p>
        </w:tc>
        <w:tc>
          <w:tcPr>
            <w:tcW w:w="2126" w:type="dxa"/>
            <w:vAlign w:val="center"/>
          </w:tcPr>
          <w:p>
            <w:pPr>
              <w:pStyle w:val="16"/>
            </w:pPr>
            <w:r>
              <w:t>2163.52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2163.52</w:t>
            </w:r>
          </w:p>
        </w:tc>
        <w:tc>
          <w:tcPr>
            <w:tcW w:w="4535" w:type="dxa"/>
            <w:vAlign w:val="center"/>
          </w:tcPr>
          <w:p>
            <w:pPr>
              <w:pStyle w:val="15"/>
            </w:pPr>
            <w:r>
              <w:t>支出总计</w:t>
            </w:r>
          </w:p>
        </w:tc>
        <w:tc>
          <w:tcPr>
            <w:tcW w:w="2126" w:type="dxa"/>
            <w:vAlign w:val="center"/>
          </w:tcPr>
          <w:p>
            <w:pPr>
              <w:pStyle w:val="16"/>
            </w:pPr>
            <w:r>
              <w:t>2163.52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401唐山市委统战部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2163.52</w:t>
            </w:r>
          </w:p>
        </w:tc>
        <w:tc>
          <w:tcPr>
            <w:tcW w:w="1134" w:type="dxa"/>
            <w:vAlign w:val="center"/>
          </w:tcPr>
          <w:p>
            <w:pPr>
              <w:pStyle w:val="16"/>
            </w:pPr>
            <w:r>
              <w:t>2163.52</w:t>
            </w:r>
          </w:p>
        </w:tc>
        <w:tc>
          <w:tcPr>
            <w:tcW w:w="1134" w:type="dxa"/>
            <w:vAlign w:val="center"/>
          </w:tcPr>
          <w:p>
            <w:pPr>
              <w:pStyle w:val="16"/>
            </w:pPr>
            <w:r>
              <w:t>2163.52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1747.24</w:t>
            </w:r>
          </w:p>
        </w:tc>
        <w:tc>
          <w:tcPr>
            <w:tcW w:w="1134" w:type="dxa"/>
            <w:vAlign w:val="center"/>
          </w:tcPr>
          <w:p>
            <w:pPr>
              <w:pStyle w:val="12"/>
            </w:pPr>
            <w:r>
              <w:t>1747.24</w:t>
            </w:r>
          </w:p>
        </w:tc>
        <w:tc>
          <w:tcPr>
            <w:tcW w:w="1134" w:type="dxa"/>
            <w:vAlign w:val="center"/>
          </w:tcPr>
          <w:p>
            <w:pPr>
              <w:pStyle w:val="12"/>
            </w:pPr>
            <w:r>
              <w:t>1747.24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1747.24</w:t>
            </w:r>
          </w:p>
        </w:tc>
        <w:tc>
          <w:tcPr>
            <w:tcW w:w="1134" w:type="dxa"/>
            <w:vAlign w:val="center"/>
          </w:tcPr>
          <w:p>
            <w:pPr>
              <w:pStyle w:val="12"/>
            </w:pPr>
            <w:r>
              <w:t>1747.24</w:t>
            </w:r>
          </w:p>
        </w:tc>
        <w:tc>
          <w:tcPr>
            <w:tcW w:w="1134" w:type="dxa"/>
            <w:vAlign w:val="center"/>
          </w:tcPr>
          <w:p>
            <w:pPr>
              <w:pStyle w:val="12"/>
            </w:pPr>
            <w:r>
              <w:t>1747.24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1378.83</w:t>
            </w:r>
          </w:p>
        </w:tc>
        <w:tc>
          <w:tcPr>
            <w:tcW w:w="1134" w:type="dxa"/>
            <w:vAlign w:val="center"/>
          </w:tcPr>
          <w:p>
            <w:pPr>
              <w:pStyle w:val="12"/>
            </w:pPr>
            <w:r>
              <w:t>1378.83</w:t>
            </w:r>
          </w:p>
        </w:tc>
        <w:tc>
          <w:tcPr>
            <w:tcW w:w="1134" w:type="dxa"/>
            <w:vAlign w:val="center"/>
          </w:tcPr>
          <w:p>
            <w:pPr>
              <w:pStyle w:val="12"/>
            </w:pPr>
            <w:r>
              <w:t>1378.83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2013402</w:t>
            </w:r>
          </w:p>
        </w:tc>
        <w:tc>
          <w:tcPr>
            <w:tcW w:w="1559" w:type="dxa"/>
            <w:vAlign w:val="center"/>
          </w:tcPr>
          <w:p>
            <w:pPr>
              <w:pStyle w:val="13"/>
            </w:pPr>
            <w:r>
              <w:t>一般行政管理事务</w:t>
            </w:r>
          </w:p>
        </w:tc>
        <w:tc>
          <w:tcPr>
            <w:tcW w:w="1134" w:type="dxa"/>
            <w:vAlign w:val="center"/>
          </w:tcPr>
          <w:p>
            <w:pPr>
              <w:pStyle w:val="12"/>
            </w:pPr>
            <w:r>
              <w:t>230.48</w:t>
            </w:r>
          </w:p>
        </w:tc>
        <w:tc>
          <w:tcPr>
            <w:tcW w:w="1134" w:type="dxa"/>
            <w:vAlign w:val="center"/>
          </w:tcPr>
          <w:p>
            <w:pPr>
              <w:pStyle w:val="12"/>
            </w:pPr>
            <w:r>
              <w:t>230.48</w:t>
            </w:r>
          </w:p>
        </w:tc>
        <w:tc>
          <w:tcPr>
            <w:tcW w:w="1134" w:type="dxa"/>
            <w:vAlign w:val="center"/>
          </w:tcPr>
          <w:p>
            <w:pPr>
              <w:pStyle w:val="12"/>
            </w:pPr>
            <w:r>
              <w:t>230.48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2013450</w:t>
            </w:r>
          </w:p>
        </w:tc>
        <w:tc>
          <w:tcPr>
            <w:tcW w:w="1559" w:type="dxa"/>
            <w:vAlign w:val="center"/>
          </w:tcPr>
          <w:p>
            <w:pPr>
              <w:pStyle w:val="13"/>
            </w:pPr>
            <w:r>
              <w:t>事业运行</w:t>
            </w:r>
          </w:p>
        </w:tc>
        <w:tc>
          <w:tcPr>
            <w:tcW w:w="1134" w:type="dxa"/>
            <w:vAlign w:val="center"/>
          </w:tcPr>
          <w:p>
            <w:pPr>
              <w:pStyle w:val="12"/>
            </w:pPr>
            <w:r>
              <w:t>74.43</w:t>
            </w:r>
          </w:p>
        </w:tc>
        <w:tc>
          <w:tcPr>
            <w:tcW w:w="1134" w:type="dxa"/>
            <w:vAlign w:val="center"/>
          </w:tcPr>
          <w:p>
            <w:pPr>
              <w:pStyle w:val="12"/>
            </w:pPr>
            <w:r>
              <w:t>74.43</w:t>
            </w:r>
          </w:p>
        </w:tc>
        <w:tc>
          <w:tcPr>
            <w:tcW w:w="1134" w:type="dxa"/>
            <w:vAlign w:val="center"/>
          </w:tcPr>
          <w:p>
            <w:pPr>
              <w:pStyle w:val="12"/>
            </w:pPr>
            <w:r>
              <w:t>74.43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2013499</w:t>
            </w:r>
          </w:p>
        </w:tc>
        <w:tc>
          <w:tcPr>
            <w:tcW w:w="1559" w:type="dxa"/>
            <w:vAlign w:val="center"/>
          </w:tcPr>
          <w:p>
            <w:pPr>
              <w:pStyle w:val="13"/>
            </w:pPr>
            <w:r>
              <w:t>其他统战事务支出</w:t>
            </w:r>
          </w:p>
        </w:tc>
        <w:tc>
          <w:tcPr>
            <w:tcW w:w="1134" w:type="dxa"/>
            <w:vAlign w:val="center"/>
          </w:tcPr>
          <w:p>
            <w:pPr>
              <w:pStyle w:val="12"/>
            </w:pPr>
            <w:r>
              <w:t>28.50</w:t>
            </w:r>
          </w:p>
        </w:tc>
        <w:tc>
          <w:tcPr>
            <w:tcW w:w="1134" w:type="dxa"/>
            <w:vAlign w:val="center"/>
          </w:tcPr>
          <w:p>
            <w:pPr>
              <w:pStyle w:val="12"/>
            </w:pPr>
            <w:r>
              <w:t>28.50</w:t>
            </w:r>
          </w:p>
        </w:tc>
        <w:tc>
          <w:tcPr>
            <w:tcW w:w="1134" w:type="dxa"/>
            <w:vAlign w:val="center"/>
          </w:tcPr>
          <w:p>
            <w:pPr>
              <w:pStyle w:val="12"/>
            </w:pPr>
            <w:r>
              <w:t>28.50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36.93</w:t>
            </w:r>
          </w:p>
        </w:tc>
        <w:tc>
          <w:tcPr>
            <w:tcW w:w="1134" w:type="dxa"/>
            <w:vAlign w:val="center"/>
          </w:tcPr>
          <w:p>
            <w:pPr>
              <w:pStyle w:val="12"/>
            </w:pPr>
            <w:r>
              <w:t>36.93</w:t>
            </w:r>
          </w:p>
        </w:tc>
        <w:tc>
          <w:tcPr>
            <w:tcW w:w="1134" w:type="dxa"/>
            <w:vAlign w:val="center"/>
          </w:tcPr>
          <w:p>
            <w:pPr>
              <w:pStyle w:val="12"/>
            </w:pPr>
            <w:r>
              <w:t>36.93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36.93</w:t>
            </w:r>
          </w:p>
        </w:tc>
        <w:tc>
          <w:tcPr>
            <w:tcW w:w="1134" w:type="dxa"/>
            <w:vAlign w:val="center"/>
          </w:tcPr>
          <w:p>
            <w:pPr>
              <w:pStyle w:val="12"/>
            </w:pPr>
            <w:r>
              <w:t>36.93</w:t>
            </w:r>
          </w:p>
        </w:tc>
        <w:tc>
          <w:tcPr>
            <w:tcW w:w="1134" w:type="dxa"/>
            <w:vAlign w:val="center"/>
          </w:tcPr>
          <w:p>
            <w:pPr>
              <w:pStyle w:val="12"/>
            </w:pPr>
            <w:r>
              <w:t>36.93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36.93</w:t>
            </w:r>
          </w:p>
        </w:tc>
        <w:tc>
          <w:tcPr>
            <w:tcW w:w="1134" w:type="dxa"/>
            <w:vAlign w:val="center"/>
          </w:tcPr>
          <w:p>
            <w:pPr>
              <w:pStyle w:val="12"/>
            </w:pPr>
            <w:r>
              <w:t>36.93</w:t>
            </w:r>
          </w:p>
        </w:tc>
        <w:tc>
          <w:tcPr>
            <w:tcW w:w="1134" w:type="dxa"/>
            <w:vAlign w:val="center"/>
          </w:tcPr>
          <w:p>
            <w:pPr>
              <w:pStyle w:val="12"/>
            </w:pPr>
            <w:r>
              <w:t>36.93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145.29</w:t>
            </w:r>
          </w:p>
        </w:tc>
        <w:tc>
          <w:tcPr>
            <w:tcW w:w="1134" w:type="dxa"/>
            <w:vAlign w:val="center"/>
          </w:tcPr>
          <w:p>
            <w:pPr>
              <w:pStyle w:val="12"/>
            </w:pPr>
            <w:r>
              <w:t>145.29</w:t>
            </w:r>
          </w:p>
        </w:tc>
        <w:tc>
          <w:tcPr>
            <w:tcW w:w="1134" w:type="dxa"/>
            <w:vAlign w:val="center"/>
          </w:tcPr>
          <w:p>
            <w:pPr>
              <w:pStyle w:val="12"/>
            </w:pPr>
            <w:r>
              <w:t>145.29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145.29</w:t>
            </w:r>
          </w:p>
        </w:tc>
        <w:tc>
          <w:tcPr>
            <w:tcW w:w="1134" w:type="dxa"/>
            <w:vAlign w:val="center"/>
          </w:tcPr>
          <w:p>
            <w:pPr>
              <w:pStyle w:val="12"/>
            </w:pPr>
            <w:r>
              <w:t>145.29</w:t>
            </w:r>
          </w:p>
        </w:tc>
        <w:tc>
          <w:tcPr>
            <w:tcW w:w="1134" w:type="dxa"/>
            <w:vAlign w:val="center"/>
          </w:tcPr>
          <w:p>
            <w:pPr>
              <w:pStyle w:val="12"/>
            </w:pPr>
            <w:r>
              <w:t>145.29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145.29</w:t>
            </w:r>
          </w:p>
        </w:tc>
        <w:tc>
          <w:tcPr>
            <w:tcW w:w="1134" w:type="dxa"/>
            <w:vAlign w:val="center"/>
          </w:tcPr>
          <w:p>
            <w:pPr>
              <w:pStyle w:val="12"/>
            </w:pPr>
            <w:r>
              <w:t>145.29</w:t>
            </w:r>
          </w:p>
        </w:tc>
        <w:tc>
          <w:tcPr>
            <w:tcW w:w="1134" w:type="dxa"/>
            <w:vAlign w:val="center"/>
          </w:tcPr>
          <w:p>
            <w:pPr>
              <w:pStyle w:val="12"/>
            </w:pPr>
            <w:r>
              <w:t>145.29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114.79</w:t>
            </w:r>
          </w:p>
        </w:tc>
        <w:tc>
          <w:tcPr>
            <w:tcW w:w="1134" w:type="dxa"/>
            <w:vAlign w:val="center"/>
          </w:tcPr>
          <w:p>
            <w:pPr>
              <w:pStyle w:val="12"/>
            </w:pPr>
            <w:r>
              <w:t>114.79</w:t>
            </w:r>
          </w:p>
        </w:tc>
        <w:tc>
          <w:tcPr>
            <w:tcW w:w="1134" w:type="dxa"/>
            <w:vAlign w:val="center"/>
          </w:tcPr>
          <w:p>
            <w:pPr>
              <w:pStyle w:val="12"/>
            </w:pPr>
            <w:r>
              <w:t>114.79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114.79</w:t>
            </w:r>
          </w:p>
        </w:tc>
        <w:tc>
          <w:tcPr>
            <w:tcW w:w="1134" w:type="dxa"/>
            <w:vAlign w:val="center"/>
          </w:tcPr>
          <w:p>
            <w:pPr>
              <w:pStyle w:val="12"/>
            </w:pPr>
            <w:r>
              <w:t>114.79</w:t>
            </w:r>
          </w:p>
        </w:tc>
        <w:tc>
          <w:tcPr>
            <w:tcW w:w="1134" w:type="dxa"/>
            <w:vAlign w:val="center"/>
          </w:tcPr>
          <w:p>
            <w:pPr>
              <w:pStyle w:val="12"/>
            </w:pPr>
            <w:r>
              <w:t>114.79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50.05</w:t>
            </w:r>
          </w:p>
        </w:tc>
        <w:tc>
          <w:tcPr>
            <w:tcW w:w="1134" w:type="dxa"/>
            <w:vAlign w:val="center"/>
          </w:tcPr>
          <w:p>
            <w:pPr>
              <w:pStyle w:val="12"/>
            </w:pPr>
            <w:r>
              <w:t>50.05</w:t>
            </w:r>
          </w:p>
        </w:tc>
        <w:tc>
          <w:tcPr>
            <w:tcW w:w="1134" w:type="dxa"/>
            <w:vAlign w:val="center"/>
          </w:tcPr>
          <w:p>
            <w:pPr>
              <w:pStyle w:val="12"/>
            </w:pPr>
            <w:r>
              <w:t>50.05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4.52</w:t>
            </w:r>
          </w:p>
        </w:tc>
        <w:tc>
          <w:tcPr>
            <w:tcW w:w="1134" w:type="dxa"/>
            <w:vAlign w:val="center"/>
          </w:tcPr>
          <w:p>
            <w:pPr>
              <w:pStyle w:val="12"/>
            </w:pPr>
            <w:r>
              <w:t>4.52</w:t>
            </w:r>
          </w:p>
        </w:tc>
        <w:tc>
          <w:tcPr>
            <w:tcW w:w="1134" w:type="dxa"/>
            <w:vAlign w:val="center"/>
          </w:tcPr>
          <w:p>
            <w:pPr>
              <w:pStyle w:val="12"/>
            </w:pPr>
            <w:r>
              <w:t>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60.22</w:t>
            </w:r>
          </w:p>
        </w:tc>
        <w:tc>
          <w:tcPr>
            <w:tcW w:w="1134" w:type="dxa"/>
            <w:vAlign w:val="center"/>
          </w:tcPr>
          <w:p>
            <w:pPr>
              <w:pStyle w:val="12"/>
            </w:pPr>
            <w:r>
              <w:t>60.22</w:t>
            </w:r>
          </w:p>
        </w:tc>
        <w:tc>
          <w:tcPr>
            <w:tcW w:w="1134" w:type="dxa"/>
            <w:vAlign w:val="center"/>
          </w:tcPr>
          <w:p>
            <w:pPr>
              <w:pStyle w:val="12"/>
            </w:pPr>
            <w:r>
              <w:t>60.22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119.27</w:t>
            </w:r>
          </w:p>
        </w:tc>
        <w:tc>
          <w:tcPr>
            <w:tcW w:w="1134" w:type="dxa"/>
            <w:vAlign w:val="center"/>
          </w:tcPr>
          <w:p>
            <w:pPr>
              <w:pStyle w:val="12"/>
            </w:pPr>
            <w:r>
              <w:t>119.27</w:t>
            </w:r>
          </w:p>
        </w:tc>
        <w:tc>
          <w:tcPr>
            <w:tcW w:w="1134" w:type="dxa"/>
            <w:vAlign w:val="center"/>
          </w:tcPr>
          <w:p>
            <w:pPr>
              <w:pStyle w:val="12"/>
            </w:pPr>
            <w:r>
              <w:t>119.27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119.27</w:t>
            </w:r>
          </w:p>
        </w:tc>
        <w:tc>
          <w:tcPr>
            <w:tcW w:w="1134" w:type="dxa"/>
            <w:vAlign w:val="center"/>
          </w:tcPr>
          <w:p>
            <w:pPr>
              <w:pStyle w:val="12"/>
            </w:pPr>
            <w:r>
              <w:t>119.27</w:t>
            </w:r>
          </w:p>
        </w:tc>
        <w:tc>
          <w:tcPr>
            <w:tcW w:w="1134" w:type="dxa"/>
            <w:vAlign w:val="center"/>
          </w:tcPr>
          <w:p>
            <w:pPr>
              <w:pStyle w:val="12"/>
            </w:pPr>
            <w:r>
              <w:t>119.27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119.27</w:t>
            </w:r>
          </w:p>
        </w:tc>
        <w:tc>
          <w:tcPr>
            <w:tcW w:w="1134" w:type="dxa"/>
            <w:vAlign w:val="center"/>
          </w:tcPr>
          <w:p>
            <w:pPr>
              <w:pStyle w:val="12"/>
            </w:pPr>
            <w:r>
              <w:t>119.27</w:t>
            </w:r>
          </w:p>
        </w:tc>
        <w:tc>
          <w:tcPr>
            <w:tcW w:w="1134" w:type="dxa"/>
            <w:vAlign w:val="center"/>
          </w:tcPr>
          <w:p>
            <w:pPr>
              <w:pStyle w:val="12"/>
            </w:pPr>
            <w:r>
              <w:t>119.27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2163.52</w:t>
            </w:r>
          </w:p>
        </w:tc>
        <w:tc>
          <w:tcPr>
            <w:tcW w:w="1361" w:type="dxa"/>
            <w:vAlign w:val="center"/>
          </w:tcPr>
          <w:p>
            <w:pPr>
              <w:pStyle w:val="16"/>
            </w:pPr>
            <w:r>
              <w:t>1825.73</w:t>
            </w:r>
          </w:p>
        </w:tc>
        <w:tc>
          <w:tcPr>
            <w:tcW w:w="1361" w:type="dxa"/>
            <w:vAlign w:val="center"/>
          </w:tcPr>
          <w:p>
            <w:pPr>
              <w:pStyle w:val="16"/>
            </w:pPr>
            <w:r>
              <w:t>337.79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1747.24</w:t>
            </w:r>
          </w:p>
        </w:tc>
        <w:tc>
          <w:tcPr>
            <w:tcW w:w="1361" w:type="dxa"/>
            <w:vAlign w:val="center"/>
          </w:tcPr>
          <w:p>
            <w:pPr>
              <w:pStyle w:val="12"/>
            </w:pPr>
            <w:r>
              <w:t>1439.50</w:t>
            </w:r>
          </w:p>
        </w:tc>
        <w:tc>
          <w:tcPr>
            <w:tcW w:w="1361" w:type="dxa"/>
            <w:vAlign w:val="center"/>
          </w:tcPr>
          <w:p>
            <w:pPr>
              <w:pStyle w:val="12"/>
            </w:pPr>
            <w:r>
              <w:t>307.74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1747.24</w:t>
            </w:r>
          </w:p>
        </w:tc>
        <w:tc>
          <w:tcPr>
            <w:tcW w:w="1361" w:type="dxa"/>
            <w:vAlign w:val="center"/>
          </w:tcPr>
          <w:p>
            <w:pPr>
              <w:pStyle w:val="12"/>
            </w:pPr>
            <w:r>
              <w:t>1439.50</w:t>
            </w:r>
          </w:p>
        </w:tc>
        <w:tc>
          <w:tcPr>
            <w:tcW w:w="1361" w:type="dxa"/>
            <w:vAlign w:val="center"/>
          </w:tcPr>
          <w:p>
            <w:pPr>
              <w:pStyle w:val="12"/>
            </w:pPr>
            <w:r>
              <w:t>307.74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1378.83</w:t>
            </w:r>
          </w:p>
        </w:tc>
        <w:tc>
          <w:tcPr>
            <w:tcW w:w="1361" w:type="dxa"/>
            <w:vAlign w:val="center"/>
          </w:tcPr>
          <w:p>
            <w:pPr>
              <w:pStyle w:val="12"/>
            </w:pPr>
            <w:r>
              <w:t>1365.07</w:t>
            </w:r>
          </w:p>
        </w:tc>
        <w:tc>
          <w:tcPr>
            <w:tcW w:w="1361" w:type="dxa"/>
            <w:vAlign w:val="center"/>
          </w:tcPr>
          <w:p>
            <w:pPr>
              <w:pStyle w:val="12"/>
            </w:pPr>
            <w:r>
              <w:t>13.76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2013402</w:t>
            </w:r>
          </w:p>
        </w:tc>
        <w:tc>
          <w:tcPr>
            <w:tcW w:w="4535" w:type="dxa"/>
            <w:vAlign w:val="center"/>
          </w:tcPr>
          <w:p>
            <w:pPr>
              <w:pStyle w:val="13"/>
            </w:pPr>
            <w:r>
              <w:t>一般行政管理事务</w:t>
            </w:r>
          </w:p>
        </w:tc>
        <w:tc>
          <w:tcPr>
            <w:tcW w:w="1361" w:type="dxa"/>
            <w:vAlign w:val="center"/>
          </w:tcPr>
          <w:p>
            <w:pPr>
              <w:pStyle w:val="12"/>
            </w:pPr>
            <w:r>
              <w:t>230.48</w:t>
            </w:r>
          </w:p>
        </w:tc>
        <w:tc>
          <w:tcPr>
            <w:tcW w:w="1361" w:type="dxa"/>
            <w:vAlign w:val="center"/>
          </w:tcPr>
          <w:p>
            <w:pPr>
              <w:pStyle w:val="12"/>
            </w:pPr>
          </w:p>
        </w:tc>
        <w:tc>
          <w:tcPr>
            <w:tcW w:w="1361" w:type="dxa"/>
            <w:vAlign w:val="center"/>
          </w:tcPr>
          <w:p>
            <w:pPr>
              <w:pStyle w:val="12"/>
            </w:pPr>
            <w:r>
              <w:t>230.48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2013450</w:t>
            </w:r>
          </w:p>
        </w:tc>
        <w:tc>
          <w:tcPr>
            <w:tcW w:w="4535" w:type="dxa"/>
            <w:vAlign w:val="center"/>
          </w:tcPr>
          <w:p>
            <w:pPr>
              <w:pStyle w:val="13"/>
            </w:pPr>
            <w:r>
              <w:t>事业运行</w:t>
            </w:r>
          </w:p>
        </w:tc>
        <w:tc>
          <w:tcPr>
            <w:tcW w:w="1361" w:type="dxa"/>
            <w:vAlign w:val="center"/>
          </w:tcPr>
          <w:p>
            <w:pPr>
              <w:pStyle w:val="12"/>
            </w:pPr>
            <w:r>
              <w:t>74.43</w:t>
            </w:r>
          </w:p>
        </w:tc>
        <w:tc>
          <w:tcPr>
            <w:tcW w:w="1361" w:type="dxa"/>
            <w:vAlign w:val="center"/>
          </w:tcPr>
          <w:p>
            <w:pPr>
              <w:pStyle w:val="12"/>
            </w:pPr>
            <w:r>
              <w:t>74.43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2013499</w:t>
            </w:r>
          </w:p>
        </w:tc>
        <w:tc>
          <w:tcPr>
            <w:tcW w:w="4535" w:type="dxa"/>
            <w:vAlign w:val="center"/>
          </w:tcPr>
          <w:p>
            <w:pPr>
              <w:pStyle w:val="13"/>
            </w:pPr>
            <w:r>
              <w:t>其他统战事务支出</w:t>
            </w:r>
          </w:p>
        </w:tc>
        <w:tc>
          <w:tcPr>
            <w:tcW w:w="1361" w:type="dxa"/>
            <w:vAlign w:val="center"/>
          </w:tcPr>
          <w:p>
            <w:pPr>
              <w:pStyle w:val="12"/>
            </w:pPr>
            <w:r>
              <w:t>28.50</w:t>
            </w:r>
          </w:p>
        </w:tc>
        <w:tc>
          <w:tcPr>
            <w:tcW w:w="1361" w:type="dxa"/>
            <w:vAlign w:val="center"/>
          </w:tcPr>
          <w:p>
            <w:pPr>
              <w:pStyle w:val="12"/>
            </w:pPr>
          </w:p>
        </w:tc>
        <w:tc>
          <w:tcPr>
            <w:tcW w:w="1361" w:type="dxa"/>
            <w:vAlign w:val="center"/>
          </w:tcPr>
          <w:p>
            <w:pPr>
              <w:pStyle w:val="12"/>
            </w:pPr>
            <w:r>
              <w:t>28.50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36.93</w:t>
            </w:r>
          </w:p>
        </w:tc>
        <w:tc>
          <w:tcPr>
            <w:tcW w:w="1361" w:type="dxa"/>
            <w:vAlign w:val="center"/>
          </w:tcPr>
          <w:p>
            <w:pPr>
              <w:pStyle w:val="12"/>
            </w:pPr>
            <w:r>
              <w:t>6.88</w:t>
            </w:r>
          </w:p>
        </w:tc>
        <w:tc>
          <w:tcPr>
            <w:tcW w:w="1361" w:type="dxa"/>
            <w:vAlign w:val="center"/>
          </w:tcPr>
          <w:p>
            <w:pPr>
              <w:pStyle w:val="12"/>
            </w:pPr>
            <w:r>
              <w:t>30.05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36.93</w:t>
            </w:r>
          </w:p>
        </w:tc>
        <w:tc>
          <w:tcPr>
            <w:tcW w:w="1361" w:type="dxa"/>
            <w:vAlign w:val="center"/>
          </w:tcPr>
          <w:p>
            <w:pPr>
              <w:pStyle w:val="12"/>
            </w:pPr>
            <w:r>
              <w:t>6.88</w:t>
            </w:r>
          </w:p>
        </w:tc>
        <w:tc>
          <w:tcPr>
            <w:tcW w:w="1361" w:type="dxa"/>
            <w:vAlign w:val="center"/>
          </w:tcPr>
          <w:p>
            <w:pPr>
              <w:pStyle w:val="12"/>
            </w:pPr>
            <w:r>
              <w:t>30.05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36.93</w:t>
            </w:r>
          </w:p>
        </w:tc>
        <w:tc>
          <w:tcPr>
            <w:tcW w:w="1361" w:type="dxa"/>
            <w:vAlign w:val="center"/>
          </w:tcPr>
          <w:p>
            <w:pPr>
              <w:pStyle w:val="12"/>
            </w:pPr>
            <w:r>
              <w:t>6.88</w:t>
            </w:r>
          </w:p>
        </w:tc>
        <w:tc>
          <w:tcPr>
            <w:tcW w:w="1361" w:type="dxa"/>
            <w:vAlign w:val="center"/>
          </w:tcPr>
          <w:p>
            <w:pPr>
              <w:pStyle w:val="12"/>
            </w:pPr>
            <w:r>
              <w:t>30.05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145.29</w:t>
            </w:r>
          </w:p>
        </w:tc>
        <w:tc>
          <w:tcPr>
            <w:tcW w:w="1361" w:type="dxa"/>
            <w:vAlign w:val="center"/>
          </w:tcPr>
          <w:p>
            <w:pPr>
              <w:pStyle w:val="12"/>
            </w:pPr>
            <w:r>
              <w:t>145.29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145.29</w:t>
            </w:r>
          </w:p>
        </w:tc>
        <w:tc>
          <w:tcPr>
            <w:tcW w:w="1361" w:type="dxa"/>
            <w:vAlign w:val="center"/>
          </w:tcPr>
          <w:p>
            <w:pPr>
              <w:pStyle w:val="12"/>
            </w:pPr>
            <w:r>
              <w:t>145.29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145.29</w:t>
            </w:r>
          </w:p>
        </w:tc>
        <w:tc>
          <w:tcPr>
            <w:tcW w:w="1361" w:type="dxa"/>
            <w:vAlign w:val="center"/>
          </w:tcPr>
          <w:p>
            <w:pPr>
              <w:pStyle w:val="12"/>
            </w:pPr>
            <w:r>
              <w:t>145.29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114.79</w:t>
            </w:r>
          </w:p>
        </w:tc>
        <w:tc>
          <w:tcPr>
            <w:tcW w:w="1361" w:type="dxa"/>
            <w:vAlign w:val="center"/>
          </w:tcPr>
          <w:p>
            <w:pPr>
              <w:pStyle w:val="12"/>
            </w:pPr>
            <w:r>
              <w:t>114.79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114.79</w:t>
            </w:r>
          </w:p>
        </w:tc>
        <w:tc>
          <w:tcPr>
            <w:tcW w:w="1361" w:type="dxa"/>
            <w:vAlign w:val="center"/>
          </w:tcPr>
          <w:p>
            <w:pPr>
              <w:pStyle w:val="12"/>
            </w:pPr>
            <w:r>
              <w:t>114.79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50.05</w:t>
            </w:r>
          </w:p>
        </w:tc>
        <w:tc>
          <w:tcPr>
            <w:tcW w:w="1361" w:type="dxa"/>
            <w:vAlign w:val="center"/>
          </w:tcPr>
          <w:p>
            <w:pPr>
              <w:pStyle w:val="12"/>
            </w:pPr>
            <w:r>
              <w:t>50.05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4.52</w:t>
            </w:r>
          </w:p>
        </w:tc>
        <w:tc>
          <w:tcPr>
            <w:tcW w:w="1361" w:type="dxa"/>
            <w:vAlign w:val="center"/>
          </w:tcPr>
          <w:p>
            <w:pPr>
              <w:pStyle w:val="12"/>
            </w:pPr>
            <w:r>
              <w:t>4.52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60.22</w:t>
            </w:r>
          </w:p>
        </w:tc>
        <w:tc>
          <w:tcPr>
            <w:tcW w:w="1361" w:type="dxa"/>
            <w:vAlign w:val="center"/>
          </w:tcPr>
          <w:p>
            <w:pPr>
              <w:pStyle w:val="12"/>
            </w:pPr>
            <w:r>
              <w:t>60.22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119.27</w:t>
            </w:r>
          </w:p>
        </w:tc>
        <w:tc>
          <w:tcPr>
            <w:tcW w:w="1361" w:type="dxa"/>
            <w:vAlign w:val="center"/>
          </w:tcPr>
          <w:p>
            <w:pPr>
              <w:pStyle w:val="12"/>
            </w:pPr>
            <w:r>
              <w:t>119.27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119.27</w:t>
            </w:r>
          </w:p>
        </w:tc>
        <w:tc>
          <w:tcPr>
            <w:tcW w:w="1361" w:type="dxa"/>
            <w:vAlign w:val="center"/>
          </w:tcPr>
          <w:p>
            <w:pPr>
              <w:pStyle w:val="12"/>
            </w:pPr>
            <w:r>
              <w:t>119.27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119.27</w:t>
            </w:r>
          </w:p>
        </w:tc>
        <w:tc>
          <w:tcPr>
            <w:tcW w:w="1361" w:type="dxa"/>
            <w:vAlign w:val="center"/>
          </w:tcPr>
          <w:p>
            <w:pPr>
              <w:pStyle w:val="12"/>
            </w:pPr>
            <w:r>
              <w:t>119.27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2163.52</w:t>
            </w:r>
          </w:p>
        </w:tc>
        <w:tc>
          <w:tcPr>
            <w:tcW w:w="3402" w:type="dxa"/>
            <w:vAlign w:val="center"/>
          </w:tcPr>
          <w:p>
            <w:pPr>
              <w:pStyle w:val="13"/>
            </w:pPr>
            <w:r>
              <w:t>一、一般公共服务支出</w:t>
            </w:r>
          </w:p>
        </w:tc>
        <w:tc>
          <w:tcPr>
            <w:tcW w:w="1474" w:type="dxa"/>
            <w:vAlign w:val="center"/>
          </w:tcPr>
          <w:p>
            <w:pPr>
              <w:pStyle w:val="12"/>
            </w:pPr>
            <w:r>
              <w:t>1747.24</w:t>
            </w:r>
          </w:p>
        </w:tc>
        <w:tc>
          <w:tcPr>
            <w:tcW w:w="1474" w:type="dxa"/>
            <w:vAlign w:val="center"/>
          </w:tcPr>
          <w:p>
            <w:pPr>
              <w:pStyle w:val="12"/>
            </w:pPr>
            <w:r>
              <w:t>1747.24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36.93</w:t>
            </w:r>
          </w:p>
        </w:tc>
        <w:tc>
          <w:tcPr>
            <w:tcW w:w="1474" w:type="dxa"/>
            <w:vAlign w:val="center"/>
          </w:tcPr>
          <w:p>
            <w:pPr>
              <w:pStyle w:val="12"/>
            </w:pPr>
            <w:r>
              <w:t>36.93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145.29</w:t>
            </w:r>
          </w:p>
        </w:tc>
        <w:tc>
          <w:tcPr>
            <w:tcW w:w="1474" w:type="dxa"/>
            <w:vAlign w:val="center"/>
          </w:tcPr>
          <w:p>
            <w:pPr>
              <w:pStyle w:val="12"/>
            </w:pPr>
            <w:r>
              <w:t>145.29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114.79</w:t>
            </w:r>
          </w:p>
        </w:tc>
        <w:tc>
          <w:tcPr>
            <w:tcW w:w="1474" w:type="dxa"/>
            <w:vAlign w:val="center"/>
          </w:tcPr>
          <w:p>
            <w:pPr>
              <w:pStyle w:val="12"/>
            </w:pPr>
            <w:r>
              <w:t>114.79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119.27</w:t>
            </w:r>
          </w:p>
        </w:tc>
        <w:tc>
          <w:tcPr>
            <w:tcW w:w="1474" w:type="dxa"/>
            <w:vAlign w:val="center"/>
          </w:tcPr>
          <w:p>
            <w:pPr>
              <w:pStyle w:val="12"/>
            </w:pPr>
            <w:r>
              <w:t>119.27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2163.52</w:t>
            </w:r>
          </w:p>
        </w:tc>
        <w:tc>
          <w:tcPr>
            <w:tcW w:w="3402" w:type="dxa"/>
            <w:vAlign w:val="center"/>
          </w:tcPr>
          <w:p>
            <w:pPr>
              <w:pStyle w:val="15"/>
            </w:pPr>
            <w:r>
              <w:t>本年支出合计</w:t>
            </w:r>
          </w:p>
        </w:tc>
        <w:tc>
          <w:tcPr>
            <w:tcW w:w="1474" w:type="dxa"/>
            <w:vAlign w:val="center"/>
          </w:tcPr>
          <w:p>
            <w:pPr>
              <w:pStyle w:val="16"/>
            </w:pPr>
            <w:r>
              <w:t>2163.52</w:t>
            </w:r>
          </w:p>
        </w:tc>
        <w:tc>
          <w:tcPr>
            <w:tcW w:w="1474" w:type="dxa"/>
            <w:vAlign w:val="center"/>
          </w:tcPr>
          <w:p>
            <w:pPr>
              <w:pStyle w:val="16"/>
            </w:pPr>
            <w:r>
              <w:t>2163.52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2163.52</w:t>
            </w:r>
          </w:p>
        </w:tc>
        <w:tc>
          <w:tcPr>
            <w:tcW w:w="3402" w:type="dxa"/>
            <w:vAlign w:val="center"/>
          </w:tcPr>
          <w:p>
            <w:pPr>
              <w:pStyle w:val="15"/>
            </w:pPr>
            <w:r>
              <w:t>支出总计</w:t>
            </w:r>
          </w:p>
        </w:tc>
        <w:tc>
          <w:tcPr>
            <w:tcW w:w="1474" w:type="dxa"/>
            <w:vAlign w:val="center"/>
          </w:tcPr>
          <w:p>
            <w:pPr>
              <w:pStyle w:val="16"/>
            </w:pPr>
            <w:r>
              <w:t>2163.52</w:t>
            </w:r>
          </w:p>
        </w:tc>
        <w:tc>
          <w:tcPr>
            <w:tcW w:w="1474" w:type="dxa"/>
            <w:vAlign w:val="center"/>
          </w:tcPr>
          <w:p>
            <w:pPr>
              <w:pStyle w:val="16"/>
            </w:pPr>
            <w:r>
              <w:t>2163.52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2163.52</w:t>
            </w:r>
          </w:p>
        </w:tc>
        <w:tc>
          <w:tcPr>
            <w:tcW w:w="2551" w:type="dxa"/>
            <w:vAlign w:val="center"/>
          </w:tcPr>
          <w:p>
            <w:pPr>
              <w:pStyle w:val="16"/>
            </w:pPr>
            <w:r>
              <w:t>1825.73</w:t>
            </w:r>
          </w:p>
        </w:tc>
        <w:tc>
          <w:tcPr>
            <w:tcW w:w="2551" w:type="dxa"/>
            <w:vAlign w:val="center"/>
          </w:tcPr>
          <w:p>
            <w:pPr>
              <w:pStyle w:val="16"/>
            </w:pPr>
            <w:r>
              <w:t>337.79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1747.24</w:t>
            </w:r>
          </w:p>
        </w:tc>
        <w:tc>
          <w:tcPr>
            <w:tcW w:w="2551" w:type="dxa"/>
            <w:vAlign w:val="center"/>
          </w:tcPr>
          <w:p>
            <w:pPr>
              <w:pStyle w:val="12"/>
            </w:pPr>
            <w:r>
              <w:t>1439.50</w:t>
            </w:r>
          </w:p>
        </w:tc>
        <w:tc>
          <w:tcPr>
            <w:tcW w:w="2551" w:type="dxa"/>
            <w:vAlign w:val="center"/>
          </w:tcPr>
          <w:p>
            <w:pPr>
              <w:pStyle w:val="12"/>
            </w:pPr>
            <w:r>
              <w:t>307.74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1747.24</w:t>
            </w:r>
          </w:p>
        </w:tc>
        <w:tc>
          <w:tcPr>
            <w:tcW w:w="2551" w:type="dxa"/>
            <w:vAlign w:val="center"/>
          </w:tcPr>
          <w:p>
            <w:pPr>
              <w:pStyle w:val="12"/>
            </w:pPr>
            <w:r>
              <w:t>1439.50</w:t>
            </w:r>
          </w:p>
        </w:tc>
        <w:tc>
          <w:tcPr>
            <w:tcW w:w="2551" w:type="dxa"/>
            <w:vAlign w:val="center"/>
          </w:tcPr>
          <w:p>
            <w:pPr>
              <w:pStyle w:val="12"/>
            </w:pPr>
            <w:r>
              <w:t>307.74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1378.83</w:t>
            </w:r>
          </w:p>
        </w:tc>
        <w:tc>
          <w:tcPr>
            <w:tcW w:w="2551" w:type="dxa"/>
            <w:vAlign w:val="center"/>
          </w:tcPr>
          <w:p>
            <w:pPr>
              <w:pStyle w:val="12"/>
            </w:pPr>
            <w:r>
              <w:t>1365.07</w:t>
            </w:r>
          </w:p>
        </w:tc>
        <w:tc>
          <w:tcPr>
            <w:tcW w:w="2551" w:type="dxa"/>
            <w:vAlign w:val="center"/>
          </w:tcPr>
          <w:p>
            <w:pPr>
              <w:pStyle w:val="1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2013402</w:t>
            </w:r>
          </w:p>
        </w:tc>
        <w:tc>
          <w:tcPr>
            <w:tcW w:w="4535" w:type="dxa"/>
            <w:vAlign w:val="center"/>
          </w:tcPr>
          <w:p>
            <w:pPr>
              <w:pStyle w:val="13"/>
            </w:pPr>
            <w:r>
              <w:t>一般行政管理事务</w:t>
            </w:r>
          </w:p>
        </w:tc>
        <w:tc>
          <w:tcPr>
            <w:tcW w:w="2551" w:type="dxa"/>
            <w:vAlign w:val="center"/>
          </w:tcPr>
          <w:p>
            <w:pPr>
              <w:pStyle w:val="12"/>
            </w:pPr>
            <w:r>
              <w:t>230.48</w:t>
            </w:r>
          </w:p>
        </w:tc>
        <w:tc>
          <w:tcPr>
            <w:tcW w:w="2551" w:type="dxa"/>
            <w:vAlign w:val="center"/>
          </w:tcPr>
          <w:p>
            <w:pPr>
              <w:pStyle w:val="12"/>
            </w:pPr>
          </w:p>
        </w:tc>
        <w:tc>
          <w:tcPr>
            <w:tcW w:w="2551" w:type="dxa"/>
            <w:vAlign w:val="center"/>
          </w:tcPr>
          <w:p>
            <w:pPr>
              <w:pStyle w:val="12"/>
            </w:pPr>
            <w:r>
              <w:t>230.48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2013450</w:t>
            </w:r>
          </w:p>
        </w:tc>
        <w:tc>
          <w:tcPr>
            <w:tcW w:w="4535" w:type="dxa"/>
            <w:vAlign w:val="center"/>
          </w:tcPr>
          <w:p>
            <w:pPr>
              <w:pStyle w:val="13"/>
            </w:pPr>
            <w:r>
              <w:t>事业运行</w:t>
            </w:r>
          </w:p>
        </w:tc>
        <w:tc>
          <w:tcPr>
            <w:tcW w:w="2551" w:type="dxa"/>
            <w:vAlign w:val="center"/>
          </w:tcPr>
          <w:p>
            <w:pPr>
              <w:pStyle w:val="12"/>
            </w:pPr>
            <w:r>
              <w:t>74.43</w:t>
            </w:r>
          </w:p>
        </w:tc>
        <w:tc>
          <w:tcPr>
            <w:tcW w:w="2551" w:type="dxa"/>
            <w:vAlign w:val="center"/>
          </w:tcPr>
          <w:p>
            <w:pPr>
              <w:pStyle w:val="12"/>
            </w:pPr>
            <w:r>
              <w:t>74.43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2013499</w:t>
            </w:r>
          </w:p>
        </w:tc>
        <w:tc>
          <w:tcPr>
            <w:tcW w:w="4535" w:type="dxa"/>
            <w:vAlign w:val="center"/>
          </w:tcPr>
          <w:p>
            <w:pPr>
              <w:pStyle w:val="13"/>
            </w:pPr>
            <w:r>
              <w:t>其他统战事务支出</w:t>
            </w:r>
          </w:p>
        </w:tc>
        <w:tc>
          <w:tcPr>
            <w:tcW w:w="2551" w:type="dxa"/>
            <w:vAlign w:val="center"/>
          </w:tcPr>
          <w:p>
            <w:pPr>
              <w:pStyle w:val="12"/>
            </w:pPr>
            <w:r>
              <w:t>28.50</w:t>
            </w:r>
          </w:p>
        </w:tc>
        <w:tc>
          <w:tcPr>
            <w:tcW w:w="2551" w:type="dxa"/>
            <w:vAlign w:val="center"/>
          </w:tcPr>
          <w:p>
            <w:pPr>
              <w:pStyle w:val="12"/>
            </w:pPr>
          </w:p>
        </w:tc>
        <w:tc>
          <w:tcPr>
            <w:tcW w:w="2551" w:type="dxa"/>
            <w:vAlign w:val="center"/>
          </w:tcPr>
          <w:p>
            <w:pPr>
              <w:pStyle w:val="12"/>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36.93</w:t>
            </w:r>
          </w:p>
        </w:tc>
        <w:tc>
          <w:tcPr>
            <w:tcW w:w="2551" w:type="dxa"/>
            <w:vAlign w:val="center"/>
          </w:tcPr>
          <w:p>
            <w:pPr>
              <w:pStyle w:val="12"/>
            </w:pPr>
            <w:r>
              <w:t>6.88</w:t>
            </w:r>
          </w:p>
        </w:tc>
        <w:tc>
          <w:tcPr>
            <w:tcW w:w="2551" w:type="dxa"/>
            <w:vAlign w:val="center"/>
          </w:tcPr>
          <w:p>
            <w:pPr>
              <w:pStyle w:val="12"/>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36.93</w:t>
            </w:r>
          </w:p>
        </w:tc>
        <w:tc>
          <w:tcPr>
            <w:tcW w:w="2551" w:type="dxa"/>
            <w:vAlign w:val="center"/>
          </w:tcPr>
          <w:p>
            <w:pPr>
              <w:pStyle w:val="12"/>
            </w:pPr>
            <w:r>
              <w:t>6.88</w:t>
            </w:r>
          </w:p>
        </w:tc>
        <w:tc>
          <w:tcPr>
            <w:tcW w:w="2551" w:type="dxa"/>
            <w:vAlign w:val="center"/>
          </w:tcPr>
          <w:p>
            <w:pPr>
              <w:pStyle w:val="12"/>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36.93</w:t>
            </w:r>
          </w:p>
        </w:tc>
        <w:tc>
          <w:tcPr>
            <w:tcW w:w="2551" w:type="dxa"/>
            <w:vAlign w:val="center"/>
          </w:tcPr>
          <w:p>
            <w:pPr>
              <w:pStyle w:val="12"/>
            </w:pPr>
            <w:r>
              <w:t>6.88</w:t>
            </w:r>
          </w:p>
        </w:tc>
        <w:tc>
          <w:tcPr>
            <w:tcW w:w="2551" w:type="dxa"/>
            <w:vAlign w:val="center"/>
          </w:tcPr>
          <w:p>
            <w:pPr>
              <w:pStyle w:val="12"/>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145.29</w:t>
            </w:r>
          </w:p>
        </w:tc>
        <w:tc>
          <w:tcPr>
            <w:tcW w:w="2551" w:type="dxa"/>
            <w:vAlign w:val="center"/>
          </w:tcPr>
          <w:p>
            <w:pPr>
              <w:pStyle w:val="12"/>
            </w:pPr>
            <w:r>
              <w:t>145.29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145.29</w:t>
            </w:r>
          </w:p>
        </w:tc>
        <w:tc>
          <w:tcPr>
            <w:tcW w:w="2551" w:type="dxa"/>
            <w:vAlign w:val="center"/>
          </w:tcPr>
          <w:p>
            <w:pPr>
              <w:pStyle w:val="12"/>
            </w:pPr>
            <w:r>
              <w:t>145.29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145.29</w:t>
            </w:r>
          </w:p>
        </w:tc>
        <w:tc>
          <w:tcPr>
            <w:tcW w:w="2551" w:type="dxa"/>
            <w:vAlign w:val="center"/>
          </w:tcPr>
          <w:p>
            <w:pPr>
              <w:pStyle w:val="12"/>
            </w:pPr>
            <w:r>
              <w:t>145.29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114.79</w:t>
            </w:r>
          </w:p>
        </w:tc>
        <w:tc>
          <w:tcPr>
            <w:tcW w:w="2551" w:type="dxa"/>
            <w:vAlign w:val="center"/>
          </w:tcPr>
          <w:p>
            <w:pPr>
              <w:pStyle w:val="12"/>
            </w:pPr>
            <w:r>
              <w:t>114.79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114.79</w:t>
            </w:r>
          </w:p>
        </w:tc>
        <w:tc>
          <w:tcPr>
            <w:tcW w:w="2551" w:type="dxa"/>
            <w:vAlign w:val="center"/>
          </w:tcPr>
          <w:p>
            <w:pPr>
              <w:pStyle w:val="12"/>
            </w:pPr>
            <w:r>
              <w:t>114.79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50.05</w:t>
            </w:r>
          </w:p>
        </w:tc>
        <w:tc>
          <w:tcPr>
            <w:tcW w:w="2551" w:type="dxa"/>
            <w:vAlign w:val="center"/>
          </w:tcPr>
          <w:p>
            <w:pPr>
              <w:pStyle w:val="12"/>
            </w:pPr>
            <w:r>
              <w:t>50.05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4.52</w:t>
            </w:r>
          </w:p>
        </w:tc>
        <w:tc>
          <w:tcPr>
            <w:tcW w:w="2551" w:type="dxa"/>
            <w:vAlign w:val="center"/>
          </w:tcPr>
          <w:p>
            <w:pPr>
              <w:pStyle w:val="12"/>
            </w:pPr>
            <w:r>
              <w:t>4.52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60.22</w:t>
            </w:r>
          </w:p>
        </w:tc>
        <w:tc>
          <w:tcPr>
            <w:tcW w:w="2551" w:type="dxa"/>
            <w:vAlign w:val="center"/>
          </w:tcPr>
          <w:p>
            <w:pPr>
              <w:pStyle w:val="12"/>
            </w:pPr>
            <w:r>
              <w:t>60.22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119.27</w:t>
            </w:r>
          </w:p>
        </w:tc>
        <w:tc>
          <w:tcPr>
            <w:tcW w:w="2551" w:type="dxa"/>
            <w:vAlign w:val="center"/>
          </w:tcPr>
          <w:p>
            <w:pPr>
              <w:pStyle w:val="12"/>
            </w:pPr>
            <w:r>
              <w:t>119.27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119.27</w:t>
            </w:r>
          </w:p>
        </w:tc>
        <w:tc>
          <w:tcPr>
            <w:tcW w:w="2551" w:type="dxa"/>
            <w:vAlign w:val="center"/>
          </w:tcPr>
          <w:p>
            <w:pPr>
              <w:pStyle w:val="12"/>
            </w:pPr>
            <w:r>
              <w:t>119.27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119.27</w:t>
            </w:r>
          </w:p>
        </w:tc>
        <w:tc>
          <w:tcPr>
            <w:tcW w:w="2551" w:type="dxa"/>
            <w:vAlign w:val="center"/>
          </w:tcPr>
          <w:p>
            <w:pPr>
              <w:pStyle w:val="12"/>
            </w:pPr>
            <w:r>
              <w:t>119.27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1825.73</w:t>
            </w:r>
          </w:p>
        </w:tc>
        <w:tc>
          <w:tcPr>
            <w:tcW w:w="2551" w:type="dxa"/>
            <w:vAlign w:val="center"/>
          </w:tcPr>
          <w:p>
            <w:pPr>
              <w:pStyle w:val="16"/>
            </w:pPr>
            <w:r>
              <w:t>1620.19</w:t>
            </w:r>
          </w:p>
        </w:tc>
        <w:tc>
          <w:tcPr>
            <w:tcW w:w="2551" w:type="dxa"/>
            <w:vAlign w:val="center"/>
          </w:tcPr>
          <w:p>
            <w:pPr>
              <w:pStyle w:val="16"/>
            </w:pPr>
            <w:r>
              <w:t>205.54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1367.58</w:t>
            </w:r>
          </w:p>
        </w:tc>
        <w:tc>
          <w:tcPr>
            <w:tcW w:w="2551" w:type="dxa"/>
            <w:vAlign w:val="center"/>
          </w:tcPr>
          <w:p>
            <w:pPr>
              <w:pStyle w:val="12"/>
            </w:pPr>
            <w:r>
              <w:t>1367.58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382.17</w:t>
            </w:r>
          </w:p>
        </w:tc>
        <w:tc>
          <w:tcPr>
            <w:tcW w:w="2551" w:type="dxa"/>
            <w:vAlign w:val="center"/>
          </w:tcPr>
          <w:p>
            <w:pPr>
              <w:pStyle w:val="12"/>
            </w:pPr>
            <w:r>
              <w:t>382.17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355.38</w:t>
            </w:r>
          </w:p>
        </w:tc>
        <w:tc>
          <w:tcPr>
            <w:tcW w:w="2551" w:type="dxa"/>
            <w:vAlign w:val="center"/>
          </w:tcPr>
          <w:p>
            <w:pPr>
              <w:pStyle w:val="12"/>
            </w:pPr>
            <w:r>
              <w:t>355.38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219.76</w:t>
            </w:r>
          </w:p>
        </w:tc>
        <w:tc>
          <w:tcPr>
            <w:tcW w:w="2551" w:type="dxa"/>
            <w:vAlign w:val="center"/>
          </w:tcPr>
          <w:p>
            <w:pPr>
              <w:pStyle w:val="12"/>
            </w:pPr>
            <w:r>
              <w:t>219.76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26.41</w:t>
            </w:r>
          </w:p>
        </w:tc>
        <w:tc>
          <w:tcPr>
            <w:tcW w:w="2551" w:type="dxa"/>
            <w:vAlign w:val="center"/>
          </w:tcPr>
          <w:p>
            <w:pPr>
              <w:pStyle w:val="12"/>
            </w:pPr>
            <w:r>
              <w:t>26.41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145.29</w:t>
            </w:r>
          </w:p>
        </w:tc>
        <w:tc>
          <w:tcPr>
            <w:tcW w:w="2551" w:type="dxa"/>
            <w:vAlign w:val="center"/>
          </w:tcPr>
          <w:p>
            <w:pPr>
              <w:pStyle w:val="12"/>
            </w:pPr>
            <w:r>
              <w:t>145.29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54.57</w:t>
            </w:r>
          </w:p>
        </w:tc>
        <w:tc>
          <w:tcPr>
            <w:tcW w:w="2551" w:type="dxa"/>
            <w:vAlign w:val="center"/>
          </w:tcPr>
          <w:p>
            <w:pPr>
              <w:pStyle w:val="12"/>
            </w:pPr>
            <w:r>
              <w:t>54.57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60.22</w:t>
            </w:r>
          </w:p>
        </w:tc>
        <w:tc>
          <w:tcPr>
            <w:tcW w:w="2551" w:type="dxa"/>
            <w:vAlign w:val="center"/>
          </w:tcPr>
          <w:p>
            <w:pPr>
              <w:pStyle w:val="12"/>
            </w:pPr>
            <w:r>
              <w:t>60.22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4.51</w:t>
            </w:r>
          </w:p>
        </w:tc>
        <w:tc>
          <w:tcPr>
            <w:tcW w:w="2551" w:type="dxa"/>
            <w:vAlign w:val="center"/>
          </w:tcPr>
          <w:p>
            <w:pPr>
              <w:pStyle w:val="12"/>
            </w:pPr>
            <w:r>
              <w:t>4.51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119.27</w:t>
            </w:r>
          </w:p>
        </w:tc>
        <w:tc>
          <w:tcPr>
            <w:tcW w:w="2551" w:type="dxa"/>
            <w:vAlign w:val="center"/>
          </w:tcPr>
          <w:p>
            <w:pPr>
              <w:pStyle w:val="12"/>
            </w:pPr>
            <w:r>
              <w:t>119.27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205.54</w:t>
            </w:r>
          </w:p>
        </w:tc>
        <w:tc>
          <w:tcPr>
            <w:tcW w:w="2551" w:type="dxa"/>
            <w:vAlign w:val="center"/>
          </w:tcPr>
          <w:p>
            <w:pPr>
              <w:pStyle w:val="12"/>
            </w:pPr>
          </w:p>
        </w:tc>
        <w:tc>
          <w:tcPr>
            <w:tcW w:w="2551" w:type="dxa"/>
            <w:vAlign w:val="center"/>
          </w:tcPr>
          <w:p>
            <w:pPr>
              <w:pStyle w:val="12"/>
            </w:pPr>
            <w:r>
              <w:t>205.54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7.79</w:t>
            </w:r>
          </w:p>
        </w:tc>
        <w:tc>
          <w:tcPr>
            <w:tcW w:w="2551" w:type="dxa"/>
            <w:vAlign w:val="center"/>
          </w:tcPr>
          <w:p>
            <w:pPr>
              <w:pStyle w:val="12"/>
            </w:pPr>
          </w:p>
        </w:tc>
        <w:tc>
          <w:tcPr>
            <w:tcW w:w="2551" w:type="dxa"/>
            <w:vAlign w:val="center"/>
          </w:tcPr>
          <w:p>
            <w:pPr>
              <w:pStyle w:val="12"/>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49.99</w:t>
            </w:r>
          </w:p>
        </w:tc>
        <w:tc>
          <w:tcPr>
            <w:tcW w:w="2551" w:type="dxa"/>
            <w:vAlign w:val="center"/>
          </w:tcPr>
          <w:p>
            <w:pPr>
              <w:pStyle w:val="12"/>
            </w:pPr>
          </w:p>
        </w:tc>
        <w:tc>
          <w:tcPr>
            <w:tcW w:w="2551" w:type="dxa"/>
            <w:vAlign w:val="center"/>
          </w:tcPr>
          <w:p>
            <w:pPr>
              <w:pStyle w:val="12"/>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4.85</w:t>
            </w:r>
          </w:p>
        </w:tc>
        <w:tc>
          <w:tcPr>
            <w:tcW w:w="2551" w:type="dxa"/>
            <w:vAlign w:val="center"/>
          </w:tcPr>
          <w:p>
            <w:pPr>
              <w:pStyle w:val="12"/>
            </w:pPr>
          </w:p>
        </w:tc>
        <w:tc>
          <w:tcPr>
            <w:tcW w:w="2551" w:type="dxa"/>
            <w:vAlign w:val="center"/>
          </w:tcPr>
          <w:p>
            <w:pPr>
              <w:pStyle w:val="12"/>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24.98</w:t>
            </w:r>
          </w:p>
        </w:tc>
        <w:tc>
          <w:tcPr>
            <w:tcW w:w="2551" w:type="dxa"/>
            <w:vAlign w:val="center"/>
          </w:tcPr>
          <w:p>
            <w:pPr>
              <w:pStyle w:val="12"/>
            </w:pPr>
          </w:p>
        </w:tc>
        <w:tc>
          <w:tcPr>
            <w:tcW w:w="2551" w:type="dxa"/>
            <w:vAlign w:val="center"/>
          </w:tcPr>
          <w:p>
            <w:pPr>
              <w:pStyle w:val="12"/>
            </w:pPr>
            <w:r>
              <w:t>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6.88</w:t>
            </w:r>
          </w:p>
        </w:tc>
        <w:tc>
          <w:tcPr>
            <w:tcW w:w="2551" w:type="dxa"/>
            <w:vAlign w:val="center"/>
          </w:tcPr>
          <w:p>
            <w:pPr>
              <w:pStyle w:val="12"/>
            </w:pPr>
          </w:p>
        </w:tc>
        <w:tc>
          <w:tcPr>
            <w:tcW w:w="2551" w:type="dxa"/>
            <w:vAlign w:val="center"/>
          </w:tcPr>
          <w:p>
            <w:pPr>
              <w:pStyle w:val="12"/>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1.49</w:t>
            </w:r>
          </w:p>
        </w:tc>
        <w:tc>
          <w:tcPr>
            <w:tcW w:w="2551" w:type="dxa"/>
            <w:vAlign w:val="center"/>
          </w:tcPr>
          <w:p>
            <w:pPr>
              <w:pStyle w:val="12"/>
            </w:pPr>
          </w:p>
        </w:tc>
        <w:tc>
          <w:tcPr>
            <w:tcW w:w="2551"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8.25</w:t>
            </w:r>
          </w:p>
        </w:tc>
        <w:tc>
          <w:tcPr>
            <w:tcW w:w="2551" w:type="dxa"/>
            <w:vAlign w:val="center"/>
          </w:tcPr>
          <w:p>
            <w:pPr>
              <w:pStyle w:val="12"/>
            </w:pPr>
          </w:p>
        </w:tc>
        <w:tc>
          <w:tcPr>
            <w:tcW w:w="2551" w:type="dxa"/>
            <w:vAlign w:val="center"/>
          </w:tcPr>
          <w:p>
            <w:pPr>
              <w:pStyle w:val="12"/>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9.57</w:t>
            </w:r>
          </w:p>
        </w:tc>
        <w:tc>
          <w:tcPr>
            <w:tcW w:w="2551" w:type="dxa"/>
            <w:vAlign w:val="center"/>
          </w:tcPr>
          <w:p>
            <w:pPr>
              <w:pStyle w:val="12"/>
            </w:pPr>
          </w:p>
        </w:tc>
        <w:tc>
          <w:tcPr>
            <w:tcW w:w="2551" w:type="dxa"/>
            <w:vAlign w:val="center"/>
          </w:tcPr>
          <w:p>
            <w:pPr>
              <w:pStyle w:val="12"/>
            </w:pPr>
            <w:r>
              <w:t>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17.50</w:t>
            </w:r>
          </w:p>
        </w:tc>
        <w:tc>
          <w:tcPr>
            <w:tcW w:w="2551" w:type="dxa"/>
            <w:vAlign w:val="center"/>
          </w:tcPr>
          <w:p>
            <w:pPr>
              <w:pStyle w:val="12"/>
            </w:pPr>
          </w:p>
        </w:tc>
        <w:tc>
          <w:tcPr>
            <w:tcW w:w="2551" w:type="dxa"/>
            <w:vAlign w:val="center"/>
          </w:tcPr>
          <w:p>
            <w:pPr>
              <w:pStyle w:val="12"/>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60.02</w:t>
            </w:r>
          </w:p>
        </w:tc>
        <w:tc>
          <w:tcPr>
            <w:tcW w:w="2551" w:type="dxa"/>
            <w:vAlign w:val="center"/>
          </w:tcPr>
          <w:p>
            <w:pPr>
              <w:pStyle w:val="12"/>
            </w:pPr>
          </w:p>
        </w:tc>
        <w:tc>
          <w:tcPr>
            <w:tcW w:w="2551" w:type="dxa"/>
            <w:vAlign w:val="center"/>
          </w:tcPr>
          <w:p>
            <w:pPr>
              <w:pStyle w:val="12"/>
            </w:pPr>
            <w:r>
              <w:t>60.02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14.13</w:t>
            </w:r>
          </w:p>
        </w:tc>
        <w:tc>
          <w:tcPr>
            <w:tcW w:w="2551" w:type="dxa"/>
            <w:vAlign w:val="center"/>
          </w:tcPr>
          <w:p>
            <w:pPr>
              <w:pStyle w:val="12"/>
            </w:pPr>
          </w:p>
        </w:tc>
        <w:tc>
          <w:tcPr>
            <w:tcW w:w="2551" w:type="dxa"/>
            <w:vAlign w:val="center"/>
          </w:tcPr>
          <w:p>
            <w:pPr>
              <w:pStyle w:val="12"/>
            </w:pPr>
            <w:r>
              <w:t>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252.61</w:t>
            </w:r>
          </w:p>
        </w:tc>
        <w:tc>
          <w:tcPr>
            <w:tcW w:w="2551" w:type="dxa"/>
            <w:vAlign w:val="center"/>
          </w:tcPr>
          <w:p>
            <w:pPr>
              <w:pStyle w:val="12"/>
            </w:pPr>
            <w:r>
              <w:t>252.61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213.27</w:t>
            </w:r>
          </w:p>
        </w:tc>
        <w:tc>
          <w:tcPr>
            <w:tcW w:w="2551" w:type="dxa"/>
            <w:vAlign w:val="center"/>
          </w:tcPr>
          <w:p>
            <w:pPr>
              <w:pStyle w:val="12"/>
            </w:pPr>
            <w:r>
              <w:t>213.27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1.53</w:t>
            </w:r>
          </w:p>
        </w:tc>
        <w:tc>
          <w:tcPr>
            <w:tcW w:w="2551" w:type="dxa"/>
            <w:vAlign w:val="center"/>
          </w:tcPr>
          <w:p>
            <w:pPr>
              <w:pStyle w:val="12"/>
            </w:pPr>
            <w:r>
              <w:t>1.53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37.47</w:t>
            </w:r>
          </w:p>
        </w:tc>
        <w:tc>
          <w:tcPr>
            <w:tcW w:w="2551" w:type="dxa"/>
            <w:vAlign w:val="center"/>
          </w:tcPr>
          <w:p>
            <w:pPr>
              <w:pStyle w:val="12"/>
            </w:pPr>
            <w:r>
              <w:t>37.47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0.34</w:t>
            </w:r>
          </w:p>
        </w:tc>
        <w:tc>
          <w:tcPr>
            <w:tcW w:w="2551" w:type="dxa"/>
            <w:vAlign w:val="center"/>
          </w:tcPr>
          <w:p>
            <w:pPr>
              <w:pStyle w:val="12"/>
            </w:pPr>
            <w:r>
              <w:t>0.34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401唐山市委统战部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18.99</w:t>
            </w:r>
          </w:p>
        </w:tc>
        <w:tc>
          <w:tcPr>
            <w:tcW w:w="2381" w:type="dxa"/>
            <w:vAlign w:val="center"/>
          </w:tcPr>
          <w:p>
            <w:pPr>
              <w:pStyle w:val="16"/>
            </w:pPr>
            <w:r>
              <w:t>18.99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18.99</w:t>
            </w:r>
          </w:p>
        </w:tc>
        <w:tc>
          <w:tcPr>
            <w:tcW w:w="2381" w:type="dxa"/>
            <w:vAlign w:val="center"/>
          </w:tcPr>
          <w:p>
            <w:pPr>
              <w:pStyle w:val="12"/>
            </w:pPr>
            <w:r>
              <w:t>18.99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17.50</w:t>
            </w:r>
          </w:p>
        </w:tc>
        <w:tc>
          <w:tcPr>
            <w:tcW w:w="2381" w:type="dxa"/>
            <w:vAlign w:val="center"/>
          </w:tcPr>
          <w:p>
            <w:pPr>
              <w:pStyle w:val="12"/>
            </w:pPr>
            <w:r>
              <w:t>17.50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17.50</w:t>
            </w:r>
          </w:p>
        </w:tc>
        <w:tc>
          <w:tcPr>
            <w:tcW w:w="2381" w:type="dxa"/>
            <w:vAlign w:val="center"/>
          </w:tcPr>
          <w:p>
            <w:pPr>
              <w:pStyle w:val="12"/>
            </w:pPr>
            <w:r>
              <w:t>17.50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1.49</w:t>
            </w:r>
          </w:p>
        </w:tc>
        <w:tc>
          <w:tcPr>
            <w:tcW w:w="2381" w:type="dxa"/>
            <w:vAlign w:val="center"/>
          </w:tcPr>
          <w:p>
            <w:pPr>
              <w:pStyle w:val="12"/>
            </w:pPr>
            <w:r>
              <w:t>1.49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唐山市委统战部2024年部门预算信息公开情况说明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唐山市委统战部2024年部门预算信息公开情况说明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按照《中华人民共和国预算法》、《地方预决算公开操作规程》和《关于进一步推进预算公开工作的实施意见》规定，现将唐山市委统战部2024年部门预算公开如下：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（二）开展统一战线理论研究，研究拟订统一战线工作的政策并推动落实，深入调查研究，及时向市委报告统一战线工作情况并提出建议，统筹协调和指导各地区各部门各单位统一战线工作。</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（三）贯彻落实党的宣传工作方针，统筹推进全市统一战线宣传工作，拟定全市统一战线宣传工作规划并组织实施，研判涉及统一战线的舆情并协调有关部门应对处置。</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四）负责发现、联系和培养党外代表人士，负责党外人士的政治安排，会同有关部门做好安排党外人士担任政府和司法机关等领导职务的工作，协助民主党派市委、市工商联和市侨联做好干部管理工作，反映和协调解决党外代表人士工作生活中的实际困难。</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贯彻执行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pPr>
        <w:pStyle w:val="26"/>
        <w:keepNext w:val="0"/>
        <w:keepLines w:val="0"/>
        <w:pageBreakBefore w:val="0"/>
        <w:widowControl/>
        <w:kinsoku/>
        <w:wordWrap/>
        <w:overflowPunct/>
        <w:topLinePunct w:val="0"/>
        <w:autoSpaceDE/>
        <w:autoSpaceDN/>
        <w:bidi w:val="0"/>
        <w:adjustRightInd/>
        <w:snapToGrid/>
        <w:spacing w:before="0" w:after="0" w:line="570" w:lineRule="exact"/>
        <w:textAlignment w:val="auto"/>
      </w:pPr>
      <w:r>
        <w:rPr>
          <w:rFonts w:ascii="宋体" w:hAnsi="宋体" w:eastAsia="方正仿宋简体"/>
          <w:sz w:val="32"/>
          <w:szCs w:val="32"/>
        </w:rPr>
        <w:t>（十三）完成市委交办的其他任务。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唐山市委统战部本级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唐山市统战工作服务中心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kinsoku/>
        <w:wordWrap/>
        <w:overflowPunct/>
        <w:topLinePunct w:val="0"/>
        <w:autoSpaceDE/>
        <w:autoSpaceDN/>
        <w:bidi w:val="0"/>
        <w:adjustRightInd/>
        <w:snapToGrid/>
        <w:spacing w:line="570" w:lineRule="exact"/>
        <w:ind w:firstLine="560"/>
        <w:jc w:val="left"/>
        <w:textAlignment w:val="auto"/>
        <w:outlineLvl w:val="9"/>
        <w:rPr>
          <w:rFonts w:ascii="宋体" w:hAnsi="宋体" w:eastAsia="方正仿宋简体" w:cs="Times New Roman"/>
          <w:color w:val="000000"/>
          <w:sz w:val="28"/>
        </w:rPr>
      </w:pPr>
      <w:r>
        <w:rPr>
          <w:rFonts w:ascii="宋体" w:hAnsi="宋体" w:eastAsia="方正仿宋简体" w:cs="Times New Roman"/>
          <w:color w:val="000000"/>
          <w:sz w:val="28"/>
        </w:rPr>
        <w:t>按照预算管理有关规定，目前我省部门预算的编制实行综合预算管理，即全部收入和支出都反映在预算中。唐山市委统战部机关及所属事业单位的收支包含在部门预算中。</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（一）收入说明</w:t>
      </w:r>
    </w:p>
    <w:p>
      <w:pPr>
        <w:pStyle w:val="19"/>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202</w:t>
      </w:r>
      <w:r>
        <w:rPr>
          <w:rFonts w:hint="eastAsia" w:ascii="宋体" w:hAnsi="宋体" w:eastAsia="方正仿宋简体"/>
          <w:sz w:val="32"/>
          <w:szCs w:val="32"/>
          <w:lang w:val="en-US" w:eastAsia="zh-CN"/>
        </w:rPr>
        <w:t>4</w:t>
      </w:r>
      <w:r>
        <w:rPr>
          <w:rFonts w:ascii="宋体" w:hAnsi="宋体" w:eastAsia="方正仿宋简体"/>
          <w:sz w:val="32"/>
          <w:szCs w:val="32"/>
        </w:rPr>
        <w:t>年度</w:t>
      </w:r>
      <w:r>
        <w:rPr>
          <w:rFonts w:hint="eastAsia" w:ascii="宋体" w:hAnsi="宋体" w:eastAsia="方正仿宋简体" w:cs="华文中宋"/>
          <w:color w:val="auto"/>
          <w:sz w:val="32"/>
          <w:szCs w:val="32"/>
          <w:lang w:val="en-US" w:eastAsia="zh-CN"/>
        </w:rPr>
        <w:t>部门</w:t>
      </w:r>
      <w:r>
        <w:rPr>
          <w:rFonts w:ascii="宋体" w:hAnsi="宋体" w:eastAsia="方正仿宋简体"/>
          <w:sz w:val="32"/>
          <w:szCs w:val="32"/>
        </w:rPr>
        <w:t>预算收入</w:t>
      </w:r>
      <w:r>
        <w:rPr>
          <w:rFonts w:hint="eastAsia" w:ascii="宋体" w:hAnsi="宋体" w:eastAsia="方正仿宋简体"/>
          <w:sz w:val="32"/>
          <w:szCs w:val="32"/>
          <w:lang w:val="en-US" w:eastAsia="zh-CN"/>
        </w:rPr>
        <w:t>2163.52</w:t>
      </w:r>
      <w:r>
        <w:rPr>
          <w:rFonts w:ascii="宋体" w:hAnsi="宋体" w:eastAsia="方正仿宋简体"/>
          <w:sz w:val="32"/>
          <w:szCs w:val="32"/>
        </w:rPr>
        <w:t>万元，其中：一般公共预算财政拨款</w:t>
      </w:r>
      <w:r>
        <w:rPr>
          <w:rFonts w:hint="eastAsia" w:ascii="宋体" w:hAnsi="宋体" w:eastAsia="方正仿宋简体"/>
          <w:sz w:val="32"/>
          <w:szCs w:val="32"/>
          <w:lang w:val="en-US" w:eastAsia="zh-CN"/>
        </w:rPr>
        <w:t>2163.52</w:t>
      </w:r>
      <w:r>
        <w:rPr>
          <w:rFonts w:ascii="宋体" w:hAnsi="宋体" w:eastAsia="方正仿宋简体"/>
          <w:sz w:val="32"/>
          <w:szCs w:val="32"/>
        </w:rPr>
        <w:t>万元，上级一般公共预算安排转移支付5</w:t>
      </w:r>
      <w:r>
        <w:rPr>
          <w:rFonts w:hint="eastAsia" w:ascii="宋体" w:hAnsi="宋体" w:eastAsia="方正仿宋简体"/>
          <w:sz w:val="32"/>
          <w:szCs w:val="32"/>
          <w:lang w:val="en-US" w:eastAsia="zh-CN"/>
        </w:rPr>
        <w:t>.00</w:t>
      </w:r>
      <w:r>
        <w:rPr>
          <w:rFonts w:ascii="宋体" w:hAnsi="宋体" w:eastAsia="方正仿宋简体"/>
          <w:sz w:val="32"/>
          <w:szCs w:val="32"/>
        </w:rPr>
        <w:t>万元。</w:t>
      </w:r>
      <w:r>
        <w:rPr>
          <w:rFonts w:hint="eastAsia" w:ascii="宋体" w:hAnsi="宋体" w:eastAsia="方正仿宋简体"/>
          <w:sz w:val="32"/>
          <w:szCs w:val="32"/>
          <w:lang w:eastAsia="zh-CN"/>
        </w:rPr>
        <w:t>基本支出</w:t>
      </w:r>
      <w:r>
        <w:rPr>
          <w:rFonts w:hint="eastAsia" w:ascii="宋体" w:hAnsi="宋体" w:eastAsia="方正仿宋简体"/>
          <w:sz w:val="32"/>
          <w:szCs w:val="32"/>
          <w:lang w:val="en-US" w:eastAsia="zh-CN"/>
        </w:rPr>
        <w:t>1825.73万元，其中：</w:t>
      </w:r>
      <w:r>
        <w:rPr>
          <w:rFonts w:ascii="宋体" w:hAnsi="宋体" w:eastAsia="方正仿宋简体"/>
          <w:sz w:val="32"/>
          <w:szCs w:val="32"/>
        </w:rPr>
        <w:t>人员经费</w:t>
      </w:r>
      <w:r>
        <w:rPr>
          <w:rFonts w:hint="eastAsia" w:ascii="宋体" w:hAnsi="宋体" w:eastAsia="方正仿宋简体"/>
          <w:sz w:val="32"/>
          <w:szCs w:val="32"/>
          <w:lang w:val="en-US" w:eastAsia="zh-CN"/>
        </w:rPr>
        <w:t>1620.19</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205.54</w:t>
      </w:r>
      <w:r>
        <w:rPr>
          <w:rFonts w:ascii="宋体" w:hAnsi="宋体" w:eastAsia="方正仿宋简体"/>
          <w:sz w:val="32"/>
          <w:szCs w:val="32"/>
        </w:rPr>
        <w:t>万元</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337.79</w:t>
      </w:r>
      <w:r>
        <w:rPr>
          <w:rFonts w:hint="eastAsia" w:ascii="宋体" w:hAnsi="宋体" w:eastAsia="方正仿宋简体"/>
          <w:sz w:val="32"/>
          <w:szCs w:val="32"/>
          <w:lang w:eastAsia="zh-CN"/>
        </w:rPr>
        <w:t>万元</w:t>
      </w:r>
      <w:r>
        <w:rPr>
          <w:rFonts w:ascii="宋体" w:hAnsi="宋体" w:eastAsia="方正仿宋简体"/>
          <w:sz w:val="32"/>
          <w:szCs w:val="32"/>
        </w:rPr>
        <w:t>。</w:t>
      </w:r>
    </w:p>
    <w:p>
      <w:pPr>
        <w:pStyle w:val="19"/>
        <w:keepNext w:val="0"/>
        <w:keepLines w:val="0"/>
        <w:pageBreakBefore w:val="0"/>
        <w:numPr>
          <w:ilvl w:val="0"/>
          <w:numId w:val="1"/>
        </w:numPr>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支出说明</w:t>
      </w:r>
    </w:p>
    <w:p>
      <w:pPr>
        <w:pStyle w:val="19"/>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hint="eastAsia" w:ascii="宋体" w:hAnsi="宋体" w:eastAsia="方正仿宋简体" w:cs="华文中宋"/>
          <w:color w:val="auto"/>
          <w:sz w:val="32"/>
          <w:szCs w:val="32"/>
          <w:lang w:val="en-US" w:eastAsia="zh-CN"/>
        </w:rPr>
        <w:t>收支预算总表支出栏、基本支出表、项目支出表按经济分类和支出功能分类科目编制，反映中共唐山市委统战部年度部门预算中支出预算的总体情况。</w:t>
      </w:r>
      <w:r>
        <w:rPr>
          <w:rFonts w:ascii="宋体" w:hAnsi="宋体" w:eastAsia="方正仿宋简体"/>
          <w:sz w:val="32"/>
          <w:szCs w:val="32"/>
        </w:rPr>
        <w:t>202</w:t>
      </w:r>
      <w:r>
        <w:rPr>
          <w:rFonts w:hint="eastAsia" w:ascii="宋体" w:hAnsi="宋体" w:eastAsia="方正仿宋简体"/>
          <w:sz w:val="32"/>
          <w:szCs w:val="32"/>
          <w:lang w:val="en-US" w:eastAsia="zh-CN"/>
        </w:rPr>
        <w:t>4</w:t>
      </w:r>
      <w:r>
        <w:rPr>
          <w:rFonts w:ascii="宋体" w:hAnsi="宋体" w:eastAsia="方正仿宋简体"/>
          <w:sz w:val="32"/>
          <w:szCs w:val="32"/>
        </w:rPr>
        <w:t>年度</w:t>
      </w:r>
      <w:r>
        <w:rPr>
          <w:rFonts w:hint="eastAsia" w:ascii="宋体" w:hAnsi="宋体" w:eastAsia="方正仿宋简体" w:cs="华文中宋"/>
          <w:color w:val="auto"/>
          <w:sz w:val="32"/>
          <w:szCs w:val="32"/>
          <w:lang w:val="en-US" w:eastAsia="zh-CN"/>
        </w:rPr>
        <w:t>部门</w:t>
      </w:r>
      <w:r>
        <w:rPr>
          <w:rFonts w:ascii="宋体" w:hAnsi="宋体" w:eastAsia="方正仿宋简体"/>
          <w:sz w:val="32"/>
          <w:szCs w:val="32"/>
        </w:rPr>
        <w:t>预算</w:t>
      </w:r>
      <w:r>
        <w:rPr>
          <w:rFonts w:hint="eastAsia" w:ascii="宋体" w:hAnsi="宋体" w:eastAsia="方正仿宋简体"/>
          <w:sz w:val="32"/>
          <w:szCs w:val="32"/>
          <w:lang w:eastAsia="zh-CN"/>
        </w:rPr>
        <w:t>支出</w:t>
      </w:r>
      <w:r>
        <w:rPr>
          <w:rFonts w:hint="eastAsia" w:ascii="宋体" w:hAnsi="宋体" w:eastAsia="方正仿宋简体"/>
          <w:sz w:val="32"/>
          <w:szCs w:val="32"/>
          <w:lang w:val="en-US" w:eastAsia="zh-CN"/>
        </w:rPr>
        <w:t>2163.52</w:t>
      </w:r>
      <w:r>
        <w:rPr>
          <w:rFonts w:ascii="宋体" w:hAnsi="宋体" w:eastAsia="方正仿宋简体"/>
          <w:sz w:val="32"/>
          <w:szCs w:val="32"/>
        </w:rPr>
        <w:t>万元，其中：一般公共预算财政拨款</w:t>
      </w:r>
      <w:r>
        <w:rPr>
          <w:rFonts w:hint="eastAsia" w:ascii="宋体" w:hAnsi="宋体" w:eastAsia="方正仿宋简体"/>
          <w:sz w:val="32"/>
          <w:szCs w:val="32"/>
          <w:lang w:val="en-US" w:eastAsia="zh-CN"/>
        </w:rPr>
        <w:t>2163.52</w:t>
      </w:r>
      <w:r>
        <w:rPr>
          <w:rFonts w:ascii="宋体" w:hAnsi="宋体" w:eastAsia="方正仿宋简体"/>
          <w:sz w:val="32"/>
          <w:szCs w:val="32"/>
        </w:rPr>
        <w:t>万元，上级一般公共预算安排转移支付5</w:t>
      </w:r>
      <w:r>
        <w:rPr>
          <w:rFonts w:hint="eastAsia" w:ascii="宋体" w:hAnsi="宋体" w:eastAsia="方正仿宋简体"/>
          <w:sz w:val="32"/>
          <w:szCs w:val="32"/>
          <w:lang w:val="en-US" w:eastAsia="zh-CN"/>
        </w:rPr>
        <w:t>.00</w:t>
      </w:r>
      <w:r>
        <w:rPr>
          <w:rFonts w:ascii="宋体" w:hAnsi="宋体" w:eastAsia="方正仿宋简体"/>
          <w:sz w:val="32"/>
          <w:szCs w:val="32"/>
        </w:rPr>
        <w:t>万元。</w:t>
      </w:r>
      <w:r>
        <w:rPr>
          <w:rFonts w:hint="eastAsia" w:ascii="宋体" w:hAnsi="宋体" w:eastAsia="方正仿宋简体"/>
          <w:sz w:val="32"/>
          <w:szCs w:val="32"/>
          <w:lang w:eastAsia="zh-CN"/>
        </w:rPr>
        <w:t>基本支出</w:t>
      </w:r>
      <w:r>
        <w:rPr>
          <w:rFonts w:hint="eastAsia" w:ascii="宋体" w:hAnsi="宋体" w:eastAsia="方正仿宋简体"/>
          <w:sz w:val="32"/>
          <w:szCs w:val="32"/>
          <w:lang w:val="en-US" w:eastAsia="zh-CN"/>
        </w:rPr>
        <w:t>1825.73万元，其中：</w:t>
      </w:r>
      <w:r>
        <w:rPr>
          <w:rFonts w:ascii="宋体" w:hAnsi="宋体" w:eastAsia="方正仿宋简体"/>
          <w:sz w:val="32"/>
          <w:szCs w:val="32"/>
        </w:rPr>
        <w:t>人员经费</w:t>
      </w:r>
      <w:r>
        <w:rPr>
          <w:rFonts w:hint="eastAsia" w:ascii="宋体" w:hAnsi="宋体" w:eastAsia="方正仿宋简体"/>
          <w:sz w:val="32"/>
          <w:szCs w:val="32"/>
          <w:lang w:val="en-US" w:eastAsia="zh-CN"/>
        </w:rPr>
        <w:t>1620.19</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205.54</w:t>
      </w:r>
      <w:r>
        <w:rPr>
          <w:rFonts w:ascii="宋体" w:hAnsi="宋体" w:eastAsia="方正仿宋简体"/>
          <w:sz w:val="32"/>
          <w:szCs w:val="32"/>
        </w:rPr>
        <w:t>万元</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337.79</w:t>
      </w:r>
      <w:r>
        <w:rPr>
          <w:rFonts w:hint="eastAsia" w:ascii="宋体" w:hAnsi="宋体" w:eastAsia="方正仿宋简体"/>
          <w:sz w:val="32"/>
          <w:szCs w:val="32"/>
          <w:lang w:eastAsia="zh-CN"/>
        </w:rPr>
        <w:t>万元</w:t>
      </w:r>
      <w:r>
        <w:rPr>
          <w:rFonts w:ascii="宋体" w:hAnsi="宋体" w:eastAsia="方正仿宋简体"/>
          <w:sz w:val="32"/>
          <w:szCs w:val="32"/>
        </w:rPr>
        <w:t>。</w:t>
      </w:r>
    </w:p>
    <w:p>
      <w:pPr>
        <w:pStyle w:val="19"/>
        <w:keepNext w:val="0"/>
        <w:keepLines w:val="0"/>
        <w:pageBreakBefore w:val="0"/>
        <w:numPr>
          <w:ilvl w:val="0"/>
          <w:numId w:val="1"/>
        </w:numPr>
        <w:kinsoku/>
        <w:wordWrap/>
        <w:overflowPunct/>
        <w:topLinePunct w:val="0"/>
        <w:autoSpaceDE/>
        <w:autoSpaceDN/>
        <w:bidi w:val="0"/>
        <w:adjustRightInd/>
        <w:snapToGrid/>
        <w:spacing w:before="0" w:after="0" w:line="570" w:lineRule="exact"/>
        <w:ind w:left="0" w:leftChars="0" w:firstLine="560" w:firstLineChars="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比上年增减情况</w:t>
      </w:r>
    </w:p>
    <w:p>
      <w:pPr>
        <w:pStyle w:val="19"/>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pPr>
      <w:r>
        <w:rPr>
          <w:rFonts w:hint="eastAsia" w:ascii="宋体" w:hAnsi="宋体" w:eastAsia="方正仿宋简体" w:cs="仿宋"/>
          <w:color w:val="auto"/>
          <w:sz w:val="32"/>
          <w:szCs w:val="32"/>
          <w:lang w:val="en-US" w:eastAsia="zh-CN"/>
        </w:rPr>
        <w:t>2024年</w:t>
      </w:r>
      <w:r>
        <w:rPr>
          <w:rFonts w:hint="eastAsia" w:ascii="宋体" w:hAnsi="宋体" w:eastAsia="方正仿宋简体" w:cs="华文中宋"/>
          <w:color w:val="auto"/>
          <w:sz w:val="32"/>
          <w:szCs w:val="32"/>
          <w:lang w:val="en-US" w:eastAsia="zh-CN"/>
        </w:rPr>
        <w:t>部门</w:t>
      </w:r>
      <w:r>
        <w:rPr>
          <w:rFonts w:hint="eastAsia" w:ascii="宋体" w:hAnsi="宋体" w:eastAsia="方正仿宋简体" w:cs="仿宋"/>
          <w:color w:val="auto"/>
          <w:sz w:val="32"/>
          <w:szCs w:val="32"/>
          <w:lang w:val="en-US" w:eastAsia="zh-CN"/>
        </w:rPr>
        <w:t>预算较2023年增加80.54万元，其中：人员经费增加100.83万元，增加原因是增加事业编制人员经费。正常公用经费增加5.65万元，增加原因是增加事业编制人员。</w:t>
      </w:r>
      <w:r>
        <w:rPr>
          <w:rFonts w:ascii="宋体" w:hAnsi="宋体" w:eastAsia="方正仿宋简体"/>
          <w:sz w:val="32"/>
          <w:szCs w:val="32"/>
        </w:rPr>
        <w:t>专项公用经费</w:t>
      </w:r>
      <w:r>
        <w:rPr>
          <w:rFonts w:hint="eastAsia" w:ascii="宋体" w:hAnsi="宋体" w:eastAsia="方正仿宋简体"/>
          <w:sz w:val="32"/>
          <w:szCs w:val="32"/>
          <w:lang w:eastAsia="zh-CN"/>
        </w:rPr>
        <w:t>减少</w:t>
      </w:r>
      <w:r>
        <w:rPr>
          <w:rFonts w:hint="eastAsia" w:ascii="宋体" w:hAnsi="宋体" w:eastAsia="方正仿宋简体"/>
          <w:sz w:val="32"/>
          <w:szCs w:val="32"/>
          <w:lang w:val="en-US" w:eastAsia="zh-CN"/>
        </w:rPr>
        <w:t>44.44万元</w:t>
      </w:r>
      <w:r>
        <w:rPr>
          <w:rFonts w:ascii="宋体" w:hAnsi="宋体" w:eastAsia="方正仿宋简体"/>
          <w:sz w:val="32"/>
          <w:szCs w:val="32"/>
        </w:rPr>
        <w:t>，</w:t>
      </w:r>
      <w:r>
        <w:rPr>
          <w:rFonts w:hint="eastAsia" w:ascii="宋体" w:hAnsi="宋体" w:eastAsia="方正仿宋简体"/>
          <w:sz w:val="32"/>
          <w:szCs w:val="32"/>
          <w:lang w:eastAsia="zh-CN"/>
        </w:rPr>
        <w:t>减少原因是因工作任务需要，建设视频会议室，调整预算项目做项目支出。</w:t>
      </w:r>
      <w:r>
        <w:rPr>
          <w:rFonts w:ascii="宋体" w:hAnsi="宋体" w:eastAsia="方正仿宋简体"/>
          <w:sz w:val="32"/>
          <w:szCs w:val="32"/>
        </w:rPr>
        <w:t>专项项目经费</w:t>
      </w:r>
      <w:r>
        <w:rPr>
          <w:rFonts w:hint="eastAsia" w:ascii="宋体" w:hAnsi="宋体" w:eastAsia="方正仿宋简体"/>
          <w:sz w:val="32"/>
          <w:szCs w:val="32"/>
          <w:lang w:eastAsia="zh-CN"/>
        </w:rPr>
        <w:t>增加</w:t>
      </w:r>
      <w:r>
        <w:rPr>
          <w:rFonts w:hint="eastAsia" w:ascii="宋体" w:hAnsi="宋体" w:eastAsia="方正仿宋简体"/>
          <w:sz w:val="32"/>
          <w:szCs w:val="32"/>
          <w:lang w:val="en-US" w:eastAsia="zh-CN"/>
        </w:rPr>
        <w:t>18.5</w:t>
      </w:r>
      <w:r>
        <w:rPr>
          <w:rFonts w:ascii="宋体" w:hAnsi="宋体" w:eastAsia="方正仿宋简体"/>
          <w:sz w:val="32"/>
          <w:szCs w:val="32"/>
        </w:rPr>
        <w:t>万</w:t>
      </w:r>
      <w:r>
        <w:rPr>
          <w:rFonts w:hint="eastAsia" w:ascii="宋体" w:hAnsi="宋体" w:eastAsia="方正仿宋简体"/>
          <w:sz w:val="32"/>
          <w:szCs w:val="32"/>
          <w:lang w:eastAsia="zh-CN"/>
        </w:rPr>
        <w:t>元，增加原因是；因工作需要，增加</w:t>
      </w:r>
      <w:r>
        <w:rPr>
          <w:rFonts w:hint="eastAsia" w:ascii="宋体" w:hAnsi="宋体" w:eastAsia="方正仿宋简体"/>
          <w:sz w:val="32"/>
          <w:szCs w:val="32"/>
          <w:lang w:val="en-US" w:eastAsia="zh-CN"/>
        </w:rPr>
        <w:t>视频会议室建设项目</w:t>
      </w:r>
      <w:r>
        <w:rPr>
          <w:rFonts w:ascii="宋体" w:hAnsi="宋体" w:eastAsia="方正仿宋简体"/>
          <w:sz w:val="32"/>
          <w:szCs w:val="32"/>
        </w:rPr>
        <w:t>。</w:t>
      </w:r>
    </w:p>
    <w:p>
      <w:pPr>
        <w:pStyle w:val="19"/>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640" w:firstLineChars="200"/>
        <w:jc w:val="left"/>
        <w:outlineLvl w:val="2"/>
      </w:pPr>
      <w:r>
        <w:rPr>
          <w:rFonts w:ascii="宋体" w:hAnsi="宋体" w:eastAsia="方正仿宋简体"/>
          <w:sz w:val="32"/>
          <w:szCs w:val="32"/>
        </w:rPr>
        <w:t>机关运行经费共计安排</w:t>
      </w:r>
      <w:r>
        <w:rPr>
          <w:rFonts w:hint="eastAsia" w:ascii="宋体" w:hAnsi="宋体" w:eastAsia="方正仿宋简体"/>
          <w:sz w:val="32"/>
          <w:szCs w:val="32"/>
          <w:lang w:val="en-US" w:eastAsia="zh-CN"/>
        </w:rPr>
        <w:t>479.83</w:t>
      </w:r>
      <w:r>
        <w:rPr>
          <w:rFonts w:ascii="宋体" w:hAnsi="宋体" w:eastAsia="方正仿宋简体"/>
          <w:sz w:val="32"/>
          <w:szCs w:val="32"/>
        </w:rPr>
        <w:t>万元，主要用于保证机关正常运转的办公费、印刷费、邮电费、差旅费、会议费、福利费、培训费、办公设备购置费、物业管理费、公务车运行维护费、其他交通费等支出。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lang w:val="en-US"/>
        </w:rPr>
      </w:pPr>
      <w:r>
        <w:rPr>
          <w:rFonts w:hint="eastAsia" w:ascii="宋体" w:hAnsi="宋体" w:eastAsia="方正仿宋简体" w:cs="仿宋"/>
          <w:color w:val="auto"/>
          <w:sz w:val="32"/>
          <w:szCs w:val="32"/>
        </w:rPr>
        <w:t>20</w:t>
      </w:r>
      <w:r>
        <w:rPr>
          <w:rFonts w:hint="eastAsia" w:ascii="宋体" w:hAnsi="宋体" w:eastAsia="方正仿宋简体" w:cs="仿宋"/>
          <w:color w:val="auto"/>
          <w:sz w:val="32"/>
          <w:szCs w:val="32"/>
          <w:lang w:val="en-US" w:eastAsia="zh-CN"/>
        </w:rPr>
        <w:t>24</w:t>
      </w:r>
      <w:r>
        <w:rPr>
          <w:rFonts w:hint="eastAsia" w:ascii="宋体" w:hAnsi="宋体" w:eastAsia="方正仿宋简体" w:cs="仿宋"/>
          <w:color w:val="auto"/>
          <w:sz w:val="32"/>
          <w:szCs w:val="32"/>
        </w:rPr>
        <w:t>年，财政拨款“三公”经费预算安排</w:t>
      </w:r>
      <w:r>
        <w:rPr>
          <w:rFonts w:hint="eastAsia" w:ascii="宋体" w:hAnsi="宋体" w:eastAsia="方正仿宋简体" w:cs="仿宋"/>
          <w:color w:val="auto"/>
          <w:sz w:val="32"/>
          <w:szCs w:val="32"/>
          <w:lang w:val="en-US" w:eastAsia="zh-CN"/>
        </w:rPr>
        <w:t>18.99</w:t>
      </w:r>
      <w:r>
        <w:rPr>
          <w:rFonts w:hint="eastAsia" w:ascii="宋体" w:hAnsi="宋体" w:eastAsia="方正仿宋简体" w:cs="仿宋"/>
          <w:color w:val="auto"/>
          <w:sz w:val="32"/>
          <w:szCs w:val="32"/>
        </w:rPr>
        <w:t>万元，</w:t>
      </w:r>
      <w:r>
        <w:rPr>
          <w:rFonts w:hint="eastAsia" w:ascii="宋体" w:hAnsi="宋体" w:eastAsia="方正仿宋简体" w:cs="仿宋"/>
          <w:kern w:val="2"/>
          <w:sz w:val="32"/>
          <w:szCs w:val="32"/>
          <w:lang w:val="en-US" w:eastAsia="zh-CN"/>
        </w:rPr>
        <w:t>其增减变化情况如下：</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638" w:leftChars="266" w:right="0" w:firstLine="0" w:firstLineChars="0"/>
        <w:jc w:val="left"/>
        <w:textAlignment w:val="auto"/>
        <w:rPr>
          <w:rFonts w:hint="eastAsia" w:ascii="宋体" w:hAnsi="宋体" w:eastAsia="方正仿宋简体" w:cs="仿宋"/>
          <w:sz w:val="32"/>
          <w:szCs w:val="32"/>
          <w:lang w:val="en-US"/>
        </w:rPr>
      </w:pPr>
      <w:r>
        <w:rPr>
          <w:rFonts w:hint="eastAsia" w:ascii="宋体" w:hAnsi="宋体" w:eastAsia="方正仿宋简体" w:cs="仿宋"/>
          <w:kern w:val="2"/>
          <w:sz w:val="32"/>
          <w:szCs w:val="32"/>
          <w:lang w:val="en-US" w:eastAsia="zh-CN"/>
        </w:rPr>
        <w:t>（一）、公务用车购置及运行维护费：2023年、2024年均未安排公务用车购置费，与上年数据持平。2024年公务用车运行维护费17.50万，2023年预算安排17.50万元，与上年数据持平。</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638" w:leftChars="266" w:right="0" w:firstLine="0" w:firstLineChars="0"/>
        <w:jc w:val="both"/>
        <w:textAlignment w:val="auto"/>
        <w:rPr>
          <w:rFonts w:hint="eastAsia" w:ascii="宋体" w:hAnsi="宋体" w:eastAsia="方正仿宋简体" w:cs="仿宋"/>
          <w:sz w:val="32"/>
          <w:szCs w:val="32"/>
        </w:rPr>
      </w:pPr>
      <w:r>
        <w:rPr>
          <w:rFonts w:hint="eastAsia" w:ascii="宋体" w:hAnsi="宋体" w:eastAsia="方正仿宋简体" w:cs="仿宋"/>
          <w:kern w:val="2"/>
          <w:sz w:val="32"/>
          <w:szCs w:val="32"/>
          <w:lang w:val="en-US" w:eastAsia="zh-CN"/>
        </w:rPr>
        <w:t>（二）、公务接待费：2024年预算安排1.49万元，2023年预算安排1.45万元。比2023年度增加0.04万元,增加</w:t>
      </w:r>
      <w:r>
        <w:rPr>
          <w:rFonts w:hint="eastAsia" w:ascii="宋体" w:hAnsi="宋体" w:eastAsia="方正仿宋简体" w:cs="仿宋"/>
          <w:sz w:val="32"/>
          <w:szCs w:val="32"/>
        </w:rPr>
        <w:t>原因：</w:t>
      </w:r>
      <w:r>
        <w:rPr>
          <w:rFonts w:hint="eastAsia" w:ascii="宋体" w:hAnsi="宋体" w:eastAsia="方正仿宋简体" w:cs="仿宋"/>
          <w:sz w:val="32"/>
          <w:szCs w:val="32"/>
          <w:lang w:eastAsia="zh-CN"/>
        </w:rPr>
        <w:t>人员增加</w:t>
      </w:r>
      <w:r>
        <w:rPr>
          <w:rFonts w:hint="eastAsia" w:ascii="宋体" w:hAnsi="宋体" w:eastAsia="方正仿宋简体" w:cs="仿宋"/>
          <w:sz w:val="32"/>
          <w:szCs w:val="32"/>
        </w:rPr>
        <w:t>。</w:t>
      </w:r>
    </w:p>
    <w:p>
      <w:pPr>
        <w:pStyle w:val="21"/>
      </w:pPr>
      <w:r>
        <w:rPr>
          <w:rFonts w:hint="eastAsia" w:ascii="宋体" w:hAnsi="宋体" w:eastAsia="方正仿宋简体" w:cs="仿宋"/>
          <w:sz w:val="32"/>
          <w:szCs w:val="32"/>
          <w:lang w:val="en-US" w:eastAsia="zh-CN"/>
        </w:rPr>
        <w:t>（三）、</w:t>
      </w:r>
      <w:r>
        <w:rPr>
          <w:rFonts w:hint="eastAsia" w:ascii="宋体" w:hAnsi="宋体" w:eastAsia="方正仿宋简体" w:cs="仿宋"/>
          <w:kern w:val="2"/>
          <w:sz w:val="32"/>
          <w:szCs w:val="32"/>
          <w:lang w:val="en-US" w:eastAsia="zh-CN"/>
        </w:rPr>
        <w:t>因公出国（境）费：2024年与2023年预算均没有安排出（国）境费，与上年数据持平。</w:t>
      </w:r>
    </w:p>
    <w:p>
      <w:p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pPr>
        <w:keepNext w:val="0"/>
        <w:keepLines w:val="0"/>
        <w:pageBreakBefore w:val="0"/>
        <w:kinsoku/>
        <w:wordWrap/>
        <w:overflowPunct/>
        <w:topLinePunct w:val="0"/>
        <w:autoSpaceDE/>
        <w:autoSpaceDN/>
        <w:bidi w:val="0"/>
        <w:adjustRightInd/>
        <w:snapToGrid/>
        <w:spacing w:line="570" w:lineRule="exact"/>
        <w:ind w:firstLine="640"/>
        <w:jc w:val="left"/>
        <w:textAlignment w:val="auto"/>
        <w:outlineLvl w:val="9"/>
        <w:rPr>
          <w:rFonts w:ascii="黑体" w:hAnsi="黑体" w:eastAsia="黑体" w:cs="黑体"/>
          <w:color w:val="000000"/>
          <w:sz w:val="32"/>
        </w:rPr>
      </w:pPr>
      <w:r>
        <w:rPr>
          <w:rFonts w:hint="eastAsia" w:ascii="宋体" w:hAnsi="宋体" w:eastAsia="方正楷体简体" w:cs="方正楷体简体"/>
          <w:b w:val="0"/>
          <w:bCs/>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全市统一战线将坚持以习近平新时代中国特色社会主义思想为指导，深入学习贯彻习近平总书记关于做好新时代党的统一战线工作的重要思想，紧紧围绕市委中心工作和全市发展大局，坚持稳中求进工作总基调，着力推动参政党作用发挥更加有效、中华民族共同体意识更加强化、宗教中国化更加深入、服务民营经济“两个健康”作用更加凸显、新阶层人士统战工作更有成效、港澳台侨力量更加凝聚，引导广大统战干部和统战成员牢记嘱托、感恩奋进，坚定信心、砥砺前行，为进一步助力我市高质量发展凝聚人心、汇聚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（一）开展统战工作。</w:t>
      </w:r>
    </w:p>
    <w:p>
      <w:pPr>
        <w:pStyle w:val="23"/>
      </w:pPr>
      <w:r>
        <w:t>绩效目标：着力构建大统战工作格局，坚持大团结大联合主题，把统战所长与大局所需结合起来，围绕加快实现“三个努力建成”“三个走在前列”目标，聚焦全市“12345”总体工作布局，使统战“朋友圈”的面更广，统战成员与党的心更近，统一战线汇聚的力更强，实现思想共识有新境界、调查研究有新成果、工作质量有新提升、体制机制有新突破、自身建设有新气象，把提质增效贯穿统战工作各领域各方面。</w:t>
      </w:r>
    </w:p>
    <w:p>
      <w:pPr>
        <w:pStyle w:val="23"/>
      </w:pPr>
      <w:r>
        <w:t>绩效指标：不断推进多党合作和政治协商的制度化、规范化，协助民主党派建设高素质干部队伍，不断提高参政议政、民主监督水平；联系少数民族和宗教界代表人士，协助有关部门做好少数民族干部的培养举荐工作，牵头有关部门做好宗教维稳、抵御境外渗透工作；推进港澳台侨和海外统战工作创新发展，为祖国和平统一事业以及我市对外开放和经济社会发展做贡献；促进非公经济健康发展和非公经济人士健康成长；广泛凝聚党外知识分子和新的社会阶层人士共识，弘扬正能量，发挥人才智力优势，服务经济社会高质量发展。</w:t>
      </w:r>
    </w:p>
    <w:p>
      <w:pPr>
        <w:pStyle w:val="23"/>
      </w:pPr>
      <w:r>
        <w:t>组织统一战线各领域学习考察、接受爱国主义教育、座谈交流会议不少于10次；指导和推动统一战线各界人士开展调查研究不少于15次。</w:t>
      </w:r>
    </w:p>
    <w:p>
      <w:pPr>
        <w:pStyle w:val="23"/>
      </w:pPr>
      <w:r>
        <w:t>（二）党外干部队伍建设。</w:t>
      </w:r>
    </w:p>
    <w:p>
      <w:pPr>
        <w:pStyle w:val="23"/>
      </w:pPr>
      <w:r>
        <w:t>绩效目标：贯彻落实《社会主义学院工作条例》的实施意见，充分发挥市社会主义学院统一战线人才教育培养主阵地作用，加强各领域党外代表人士的政治引领、教育培训和素质提升；着眼于下次换届和长远发展需要，加强与组织部门协商配合，不断充实完善党外干部人才库，认真学习并严格贯彻落实省委相关政策，做好市政协委员调整工作。</w:t>
      </w:r>
    </w:p>
    <w:p>
      <w:pPr>
        <w:pStyle w:val="23"/>
      </w:pPr>
      <w:r>
        <w:t>绩效指标：加强党外代表人士的教育培训,落实2024年全市统一战线教育培训计划；聚焦党外干部的合理使用，努力建设一支数量充足、结构合理、素质优良、作用突出的党外干部队伍；做好党外代表人士政治安排，做好市人大党外常委候选人提名推荐，推动党外代表人士在我市经济社会高质量发展中多建睿智直言，多献务实之策。</w:t>
      </w:r>
    </w:p>
    <w:p>
      <w:pPr>
        <w:pStyle w:val="23"/>
      </w:pPr>
      <w:r>
        <w:t>开展党外人士教育培训活动不少于10次。</w:t>
      </w:r>
    </w:p>
    <w:p>
      <w:pPr>
        <w:pStyle w:val="23"/>
      </w:pPr>
      <w:r>
        <w:t>（三）统战事务管理。</w:t>
      </w:r>
    </w:p>
    <w:p>
      <w:pPr>
        <w:pStyle w:val="23"/>
      </w:pPr>
      <w:r>
        <w:t>绩效目标：提升统战理论研究质量和社会影响力，提高统战工作规</w:t>
      </w:r>
    </w:p>
    <w:p>
      <w:pPr>
        <w:pStyle w:val="23"/>
      </w:pPr>
      <w:r>
        <w:t>范化科学化水平。</w:t>
      </w:r>
    </w:p>
    <w:p>
      <w:pPr>
        <w:pStyle w:val="23"/>
      </w:pPr>
      <w:r>
        <w:t>绩效指标：综合调研统战理论政策；负责全市统战宣传和联络工作以及涉及统一战线各界人士的思想政治引领工作；完成省、市统战部和市委交办的其他任务。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1、政治上做到旗帜鲜明对党忠诚。把党的政治建设摆在首位，始终与党中央和省市委对标对表，落实党建责任制，总结工作、研判形势，部署任务。</w:t>
      </w:r>
    </w:p>
    <w:p>
      <w:pPr>
        <w:pStyle w:val="24"/>
      </w:pPr>
      <w:r>
        <w:t>2、思想上做到理论清醒信念坚定。把学习贯彻习近平新时代中国特色社会主义思想和党的二十大和二十届一中二中全会精神作为当前和今后一个时期首要政治任务，采取多种形式开展系列爱国主义教育，坚定理想信念。</w:t>
      </w:r>
    </w:p>
    <w:p>
      <w:pPr>
        <w:pStyle w:val="24"/>
      </w:pPr>
      <w:r>
        <w:t>3、组织上做到全面进步全面过硬。贯彻落实《中国共产党支部工作条例》，推进党支部标准化规范化建设，机关党委每季度召开调度会，听取各支部工作情况汇报，发现问题及时整改；继续深化党员先锋指数量化考核，完善考核内容，健全考评机制。</w:t>
      </w:r>
    </w:p>
    <w:p>
      <w:pPr>
        <w:pStyle w:val="24"/>
      </w:pPr>
      <w:r>
        <w:t>4、党风廉政建设上做到压实责任遵章守纪。严格落实全面从严治党主体责任，贯彻新修订的中央八项规定实施细则，持之以恒正风肃纪；强化廉政学习和警示教育，定期组织开展集中廉政谈话，浓厚机关廉政文化氛围；加强机关作风建设，每月分两次开展多部门联合机关作风纪律检查。</w:t>
      </w:r>
    </w:p>
    <w:p>
      <w:pPr>
        <w:pStyle w:val="24"/>
      </w:pPr>
      <w:r>
        <w:t>5、群团组织建设上做到强化服务凝聚力量。坚持党建带群建，推进机关工青妇组织履职尽责，丰富机关文化生活，开展形式多样的文体活动，提高机关凝聚力；定期组织志愿服务和进社区“双报到”活动。</w:t>
      </w:r>
    </w:p>
    <w:p>
      <w:pPr>
        <w:pStyle w:val="24"/>
      </w:pPr>
      <w:r>
        <w:t>6、发挥好统一战线工作领导小组办公室牵头协调作用。统筹协调民</w:t>
      </w:r>
    </w:p>
    <w:p>
      <w:pPr>
        <w:pStyle w:val="24"/>
      </w:pPr>
      <w:r>
        <w:t>主党派、民族宗教、民营经济、新的社会阶层、党外代表人士、侨务、对台等统战工作机制规范运行。</w:t>
      </w:r>
    </w:p>
    <w:p>
      <w:pPr>
        <w:pStyle w:val="24"/>
        <w:numPr>
          <w:ilvl w:val="0"/>
          <w:numId w:val="3"/>
        </w:numPr>
      </w:pPr>
      <w:r>
        <w:t>加强信息宣传工作。通过专题培训、上站交流、调研约稿等形式不断增强做好信息宣传工作的意识和能力；积极整合统战宣传资源，提升统战宣传效果。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楷体简体" w:cs="方正楷体简体"/>
          <w:b w:val="0"/>
          <w:bCs/>
          <w:color w:val="000000"/>
          <w:sz w:val="32"/>
        </w:rPr>
      </w:pPr>
      <w:r>
        <w:rPr>
          <w:rFonts w:hint="eastAsia" w:ascii="宋体" w:hAnsi="宋体" w:eastAsia="方正楷体简体" w:cs="方正楷体简体"/>
          <w:b w:val="0"/>
          <w:bCs/>
          <w:color w:val="000000"/>
          <w:sz w:val="32"/>
        </w:rPr>
        <w:t>第二部分  专项资金绩效目标</w:t>
      </w:r>
    </w:p>
    <w:p>
      <w:pPr>
        <w:keepNext w:val="0"/>
        <w:keepLines w:val="0"/>
        <w:pageBreakBefore w:val="0"/>
        <w:kinsoku/>
        <w:wordWrap/>
        <w:overflowPunct/>
        <w:topLinePunct w:val="0"/>
        <w:autoSpaceDE/>
        <w:autoSpaceDN/>
        <w:bidi w:val="0"/>
        <w:adjustRightInd/>
        <w:snapToGrid/>
        <w:spacing w:line="570" w:lineRule="exact"/>
        <w:ind w:firstLine="840" w:firstLineChars="300"/>
        <w:jc w:val="left"/>
        <w:textAlignment w:val="auto"/>
        <w:outlineLvl w:val="9"/>
        <w:rPr>
          <w:rFonts w:hint="eastAsia" w:ascii="宋体" w:hAnsi="宋体" w:eastAsia="方正仿宋简体" w:cs="方正楷体_GBK"/>
          <w:b w:val="0"/>
          <w:bCs/>
          <w:color w:val="000000"/>
          <w:sz w:val="28"/>
          <w:szCs w:val="28"/>
          <w:lang w:eastAsia="zh-CN"/>
        </w:rPr>
        <w:sectPr>
          <w:pgSz w:w="16840" w:h="11900" w:orient="landscape"/>
          <w:pgMar w:top="1361" w:right="1020" w:bottom="1361" w:left="1020" w:header="720" w:footer="720" w:gutter="0"/>
          <w:pgNumType w:fmt="decimal"/>
        </w:sectPr>
      </w:pPr>
      <w:r>
        <w:rPr>
          <w:rFonts w:hint="eastAsia" w:ascii="宋体" w:hAnsi="宋体" w:eastAsia="方正仿宋简体" w:cs="方正楷体_GBK"/>
          <w:b w:val="0"/>
          <w:bCs/>
          <w:color w:val="000000"/>
          <w:sz w:val="28"/>
          <w:szCs w:val="28"/>
          <w:lang w:eastAsia="zh-CN"/>
        </w:rPr>
        <w:t>无</w:t>
      </w:r>
    </w:p>
    <w:p>
      <w:pPr>
        <w:spacing w:before="0" w:after="0"/>
        <w:ind w:firstLine="640" w:firstLineChars="200"/>
        <w:jc w:val="left"/>
        <w:outlineLvl w:val="9"/>
        <w:rPr>
          <w:rFonts w:hint="eastAsia" w:eastAsia="方正楷体简体"/>
          <w:lang w:eastAsia="zh-CN"/>
        </w:rPr>
        <w:sectPr>
          <w:pgSz w:w="16840" w:h="11900" w:orient="landscape"/>
          <w:pgMar w:top="1361" w:right="1020" w:bottom="1361" w:left="1020" w:header="720" w:footer="720" w:gutter="0"/>
        </w:sectPr>
      </w:pPr>
      <w:r>
        <w:rPr>
          <w:rFonts w:hint="eastAsia" w:ascii="宋体" w:hAnsi="宋体" w:eastAsia="方正楷体简体" w:cs="方正楷体简体"/>
          <w:b w:val="0"/>
          <w:bCs/>
          <w:color w:val="000000"/>
          <w:sz w:val="32"/>
          <w:szCs w:val="32"/>
        </w:rPr>
        <w:t>第三部分  预算项目绩效</w:t>
      </w:r>
      <w:r>
        <w:rPr>
          <w:rFonts w:hint="eastAsia" w:ascii="宋体" w:hAnsi="宋体" w:eastAsia="方正楷体简体" w:cs="方正楷体简体"/>
          <w:b w:val="0"/>
          <w:bCs/>
          <w:color w:val="000000"/>
          <w:sz w:val="32"/>
          <w:szCs w:val="32"/>
          <w:lang w:eastAsia="zh-CN"/>
        </w:rPr>
        <w:t>目标</w:t>
      </w:r>
    </w:p>
    <w:p>
      <w:pPr>
        <w:spacing w:before="10" w:after="10" w:line="360" w:lineRule="auto"/>
        <w:jc w:val="left"/>
        <w:outlineLvl w:val="2"/>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1、办公家具及设备购置绩效目标表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13020024P00682010673D</w:t>
            </w:r>
          </w:p>
        </w:tc>
        <w:tc>
          <w:tcPr>
            <w:tcW w:w="2835" w:type="dxa"/>
            <w:vAlign w:val="center"/>
          </w:tcPr>
          <w:p>
            <w:pPr>
              <w:pStyle w:val="11"/>
            </w:pPr>
            <w:r>
              <w:t>项目名称</w:t>
            </w:r>
          </w:p>
        </w:tc>
        <w:tc>
          <w:tcPr>
            <w:tcW w:w="6094" w:type="dxa"/>
            <w:gridSpan w:val="3"/>
            <w:vAlign w:val="center"/>
          </w:tcPr>
          <w:p>
            <w:pPr>
              <w:pStyle w:val="13"/>
            </w:pPr>
            <w:r>
              <w:t>办公家具及设备购置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w:t>
            </w:r>
          </w:p>
        </w:tc>
        <w:tc>
          <w:tcPr>
            <w:tcW w:w="2835" w:type="dxa"/>
            <w:vAlign w:val="center"/>
          </w:tcPr>
          <w:p>
            <w:pPr>
              <w:pStyle w:val="11"/>
            </w:pPr>
            <w:r>
              <w:t>其中：财政    资金</w:t>
            </w:r>
          </w:p>
        </w:tc>
        <w:tc>
          <w:tcPr>
            <w:tcW w:w="2551" w:type="dxa"/>
            <w:vAlign w:val="center"/>
          </w:tcPr>
          <w:p>
            <w:pPr>
              <w:pStyle w:val="13"/>
            </w:pPr>
            <w:r>
              <w:t>2.43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2、党外知识分子及民主党派调研经费绩效目标表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13020024P000C2B10003G</w:t>
            </w:r>
          </w:p>
        </w:tc>
        <w:tc>
          <w:tcPr>
            <w:tcW w:w="2835" w:type="dxa"/>
            <w:vAlign w:val="center"/>
          </w:tcPr>
          <w:p>
            <w:pPr>
              <w:pStyle w:val="11"/>
            </w:pPr>
            <w:r>
              <w:t>项目名称</w:t>
            </w:r>
          </w:p>
        </w:tc>
        <w:tc>
          <w:tcPr>
            <w:tcW w:w="6094" w:type="dxa"/>
            <w:gridSpan w:val="3"/>
            <w:vAlign w:val="center"/>
          </w:tcPr>
          <w:p>
            <w:pPr>
              <w:pStyle w:val="13"/>
            </w:pPr>
            <w:r>
              <w:t>党外知识分子及民主党派调研经费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6.10</w:t>
            </w:r>
          </w:p>
        </w:tc>
        <w:tc>
          <w:tcPr>
            <w:tcW w:w="2835" w:type="dxa"/>
            <w:vAlign w:val="center"/>
          </w:tcPr>
          <w:p>
            <w:pPr>
              <w:pStyle w:val="11"/>
            </w:pPr>
            <w:r>
              <w:t>其中：财政    资金</w:t>
            </w:r>
          </w:p>
        </w:tc>
        <w:tc>
          <w:tcPr>
            <w:tcW w:w="2551" w:type="dxa"/>
            <w:vAlign w:val="center"/>
          </w:tcPr>
          <w:p>
            <w:pPr>
              <w:pStyle w:val="13"/>
            </w:pPr>
            <w:r>
              <w:t>6.10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组织党外知识分子、无党派人士、新的社会阶层人士、民主党派成员等统战对象到先进地区考察调研。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调研完成率</w:t>
            </w:r>
          </w:p>
        </w:tc>
        <w:tc>
          <w:tcPr>
            <w:tcW w:w="5386" w:type="dxa"/>
            <w:vAlign w:val="center"/>
          </w:tcPr>
          <w:p>
            <w:pPr>
              <w:pStyle w:val="13"/>
            </w:pPr>
            <w:r>
              <w:t>调研完成率</w:t>
            </w:r>
          </w:p>
        </w:tc>
        <w:tc>
          <w:tcPr>
            <w:tcW w:w="2268" w:type="dxa"/>
            <w:vAlign w:val="center"/>
          </w:tcPr>
          <w:p>
            <w:pPr>
              <w:pStyle w:val="13"/>
            </w:pPr>
            <w:r>
              <w:t>100%</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调研合格率</w:t>
            </w:r>
          </w:p>
        </w:tc>
        <w:tc>
          <w:tcPr>
            <w:tcW w:w="5386" w:type="dxa"/>
            <w:vAlign w:val="center"/>
          </w:tcPr>
          <w:p>
            <w:pPr>
              <w:pStyle w:val="13"/>
            </w:pPr>
            <w:r>
              <w:t>调研合格率</w:t>
            </w:r>
          </w:p>
        </w:tc>
        <w:tc>
          <w:tcPr>
            <w:tcW w:w="2268" w:type="dxa"/>
            <w:vAlign w:val="center"/>
          </w:tcPr>
          <w:p>
            <w:pPr>
              <w:pStyle w:val="13"/>
            </w:pPr>
            <w:r>
              <w:t>100%</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调研完成时限</w:t>
            </w:r>
          </w:p>
        </w:tc>
        <w:tc>
          <w:tcPr>
            <w:tcW w:w="5386" w:type="dxa"/>
            <w:vAlign w:val="center"/>
          </w:tcPr>
          <w:p>
            <w:pPr>
              <w:pStyle w:val="13"/>
            </w:pPr>
            <w:r>
              <w:t>调研完成时限</w:t>
            </w:r>
          </w:p>
        </w:tc>
        <w:tc>
          <w:tcPr>
            <w:tcW w:w="2268" w:type="dxa"/>
            <w:vAlign w:val="center"/>
          </w:tcPr>
          <w:p>
            <w:pPr>
              <w:pStyle w:val="13"/>
            </w:pPr>
            <w:r>
              <w:t>2024年12月31日</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被采纳的意见建议数量占总数量的比率</w:t>
            </w:r>
          </w:p>
        </w:tc>
        <w:tc>
          <w:tcPr>
            <w:tcW w:w="2268" w:type="dxa"/>
            <w:vAlign w:val="center"/>
          </w:tcPr>
          <w:p>
            <w:pPr>
              <w:pStyle w:val="13"/>
            </w:pPr>
            <w:r>
              <w:t>≥90%</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按照年度工作计划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3、归侨退休生活补贴绩效目标表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13020024P00D88410003N</w:t>
            </w:r>
          </w:p>
        </w:tc>
        <w:tc>
          <w:tcPr>
            <w:tcW w:w="2835" w:type="dxa"/>
            <w:vAlign w:val="center"/>
          </w:tcPr>
          <w:p>
            <w:pPr>
              <w:pStyle w:val="11"/>
            </w:pPr>
            <w:r>
              <w:t>项目名称</w:t>
            </w:r>
          </w:p>
        </w:tc>
        <w:tc>
          <w:tcPr>
            <w:tcW w:w="6094" w:type="dxa"/>
            <w:gridSpan w:val="3"/>
            <w:vAlign w:val="center"/>
          </w:tcPr>
          <w:p>
            <w:pPr>
              <w:pStyle w:val="13"/>
            </w:pPr>
            <w:r>
              <w:t>归侨退休生活补贴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w:t>
            </w:r>
          </w:p>
        </w:tc>
        <w:tc>
          <w:tcPr>
            <w:tcW w:w="2835" w:type="dxa"/>
            <w:vAlign w:val="center"/>
          </w:tcPr>
          <w:p>
            <w:pPr>
              <w:pStyle w:val="11"/>
            </w:pPr>
            <w:r>
              <w:t>其中：财政    资金</w:t>
            </w:r>
          </w:p>
        </w:tc>
        <w:tc>
          <w:tcPr>
            <w:tcW w:w="2551" w:type="dxa"/>
            <w:vAlign w:val="center"/>
          </w:tcPr>
          <w:p>
            <w:pPr>
              <w:pStyle w:val="13"/>
            </w:pPr>
            <w:r>
              <w:t>2.28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归侨退休人员生活补贴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4、华侨扶贫救济费绩效目标表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13020024P00T64F10003A</w:t>
            </w:r>
          </w:p>
        </w:tc>
        <w:tc>
          <w:tcPr>
            <w:tcW w:w="2835" w:type="dxa"/>
            <w:vAlign w:val="center"/>
          </w:tcPr>
          <w:p>
            <w:pPr>
              <w:pStyle w:val="11"/>
            </w:pPr>
            <w:r>
              <w:t>项目名称</w:t>
            </w:r>
          </w:p>
        </w:tc>
        <w:tc>
          <w:tcPr>
            <w:tcW w:w="6094" w:type="dxa"/>
            <w:gridSpan w:val="3"/>
            <w:vAlign w:val="center"/>
          </w:tcPr>
          <w:p>
            <w:pPr>
              <w:pStyle w:val="13"/>
            </w:pPr>
            <w:r>
              <w:t>华侨扶贫救济费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归侨侨眷扶贫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华侨事业费暂行管理办法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5、会刊期刊专项印刷费绩效目标表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13020024P00X8R6100036</w:t>
            </w:r>
          </w:p>
        </w:tc>
        <w:tc>
          <w:tcPr>
            <w:tcW w:w="2835" w:type="dxa"/>
            <w:vAlign w:val="center"/>
          </w:tcPr>
          <w:p>
            <w:pPr>
              <w:pStyle w:val="11"/>
            </w:pPr>
            <w:r>
              <w:t>项目名称</w:t>
            </w:r>
          </w:p>
        </w:tc>
        <w:tc>
          <w:tcPr>
            <w:tcW w:w="6094" w:type="dxa"/>
            <w:gridSpan w:val="3"/>
            <w:vAlign w:val="center"/>
          </w:tcPr>
          <w:p>
            <w:pPr>
              <w:pStyle w:val="13"/>
            </w:pPr>
            <w:r>
              <w:t>会刊期刊专项印刷费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16.40</w:t>
            </w:r>
          </w:p>
        </w:tc>
        <w:tc>
          <w:tcPr>
            <w:tcW w:w="2835" w:type="dxa"/>
            <w:vAlign w:val="center"/>
          </w:tcPr>
          <w:p>
            <w:pPr>
              <w:pStyle w:val="11"/>
            </w:pPr>
            <w:r>
              <w:t>其中：财政    资金</w:t>
            </w:r>
          </w:p>
        </w:tc>
        <w:tc>
          <w:tcPr>
            <w:tcW w:w="2551" w:type="dxa"/>
            <w:vAlign w:val="center"/>
          </w:tcPr>
          <w:p>
            <w:pPr>
              <w:pStyle w:val="13"/>
            </w:pPr>
            <w:r>
              <w:t>16.40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印刷执行率（%）</w:t>
            </w:r>
          </w:p>
        </w:tc>
        <w:tc>
          <w:tcPr>
            <w:tcW w:w="5386" w:type="dxa"/>
            <w:vAlign w:val="center"/>
          </w:tcPr>
          <w:p>
            <w:pPr>
              <w:pStyle w:val="13"/>
            </w:pPr>
            <w:r>
              <w:t>印刷执行率（%）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满足业务开展需求</w:t>
            </w:r>
          </w:p>
        </w:tc>
        <w:tc>
          <w:tcPr>
            <w:tcW w:w="5386" w:type="dxa"/>
            <w:vAlign w:val="center"/>
          </w:tcPr>
          <w:p>
            <w:pPr>
              <w:pStyle w:val="13"/>
            </w:pPr>
            <w:r>
              <w:t>满足业务开展需求</w:t>
            </w:r>
          </w:p>
        </w:tc>
        <w:tc>
          <w:tcPr>
            <w:tcW w:w="2268" w:type="dxa"/>
            <w:vAlign w:val="center"/>
          </w:tcPr>
          <w:p>
            <w:pPr>
              <w:pStyle w:val="13"/>
            </w:pPr>
            <w:r>
              <w:t>满足业务开展需求</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6、民主党派及无党派代表人士调研经费绩效目标表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13020024P006827101020</w:t>
            </w:r>
          </w:p>
        </w:tc>
        <w:tc>
          <w:tcPr>
            <w:tcW w:w="2835" w:type="dxa"/>
            <w:vAlign w:val="center"/>
          </w:tcPr>
          <w:p>
            <w:pPr>
              <w:pStyle w:val="11"/>
            </w:pPr>
            <w:r>
              <w:t>项目名称</w:t>
            </w:r>
          </w:p>
        </w:tc>
        <w:tc>
          <w:tcPr>
            <w:tcW w:w="6094" w:type="dxa"/>
            <w:gridSpan w:val="3"/>
            <w:vAlign w:val="center"/>
          </w:tcPr>
          <w:p>
            <w:pPr>
              <w:pStyle w:val="13"/>
            </w:pPr>
            <w:r>
              <w:t>民主党派及无党派代表人士调研经费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135.80</w:t>
            </w:r>
          </w:p>
        </w:tc>
        <w:tc>
          <w:tcPr>
            <w:tcW w:w="2835" w:type="dxa"/>
            <w:vAlign w:val="center"/>
          </w:tcPr>
          <w:p>
            <w:pPr>
              <w:pStyle w:val="11"/>
            </w:pPr>
            <w:r>
              <w:t>其中：财政    资金</w:t>
            </w:r>
          </w:p>
        </w:tc>
        <w:tc>
          <w:tcPr>
            <w:tcW w:w="2551" w:type="dxa"/>
            <w:vAlign w:val="center"/>
          </w:tcPr>
          <w:p>
            <w:pPr>
              <w:pStyle w:val="13"/>
            </w:pPr>
            <w:r>
              <w:t>135.80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各民主党派和无党派代表人士开展调研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调研完成率</w:t>
            </w:r>
          </w:p>
        </w:tc>
        <w:tc>
          <w:tcPr>
            <w:tcW w:w="5386" w:type="dxa"/>
            <w:vAlign w:val="center"/>
          </w:tcPr>
          <w:p>
            <w:pPr>
              <w:pStyle w:val="13"/>
            </w:pPr>
            <w:r>
              <w:t>调研完成率</w:t>
            </w:r>
          </w:p>
        </w:tc>
        <w:tc>
          <w:tcPr>
            <w:tcW w:w="2268" w:type="dxa"/>
            <w:vAlign w:val="center"/>
          </w:tcPr>
          <w:p>
            <w:pPr>
              <w:pStyle w:val="13"/>
            </w:pPr>
            <w:r>
              <w:t>100%</w:t>
            </w:r>
          </w:p>
        </w:tc>
        <w:tc>
          <w:tcPr>
            <w:tcW w:w="1276" w:type="dxa"/>
            <w:vAlign w:val="center"/>
          </w:tcPr>
          <w:p>
            <w:pPr>
              <w:pStyle w:val="13"/>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调研合格率</w:t>
            </w:r>
          </w:p>
        </w:tc>
        <w:tc>
          <w:tcPr>
            <w:tcW w:w="5386" w:type="dxa"/>
            <w:vAlign w:val="center"/>
          </w:tcPr>
          <w:p>
            <w:pPr>
              <w:pStyle w:val="13"/>
            </w:pPr>
            <w:r>
              <w:t>调研合格率</w:t>
            </w:r>
          </w:p>
        </w:tc>
        <w:tc>
          <w:tcPr>
            <w:tcW w:w="2268" w:type="dxa"/>
            <w:vAlign w:val="center"/>
          </w:tcPr>
          <w:p>
            <w:pPr>
              <w:pStyle w:val="13"/>
            </w:pPr>
            <w:r>
              <w:t>100%</w:t>
            </w:r>
          </w:p>
        </w:tc>
        <w:tc>
          <w:tcPr>
            <w:tcW w:w="1276" w:type="dxa"/>
            <w:vAlign w:val="center"/>
          </w:tcPr>
          <w:p>
            <w:pPr>
              <w:pStyle w:val="13"/>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调研完成时限</w:t>
            </w:r>
          </w:p>
        </w:tc>
        <w:tc>
          <w:tcPr>
            <w:tcW w:w="5386" w:type="dxa"/>
            <w:vAlign w:val="center"/>
          </w:tcPr>
          <w:p>
            <w:pPr>
              <w:pStyle w:val="13"/>
            </w:pPr>
            <w:r>
              <w:t>调研完成时限</w:t>
            </w:r>
          </w:p>
        </w:tc>
        <w:tc>
          <w:tcPr>
            <w:tcW w:w="2268" w:type="dxa"/>
            <w:vAlign w:val="center"/>
          </w:tcPr>
          <w:p>
            <w:pPr>
              <w:pStyle w:val="13"/>
            </w:pPr>
            <w:r>
              <w:t>2024年12月31日</w:t>
            </w:r>
          </w:p>
        </w:tc>
        <w:tc>
          <w:tcPr>
            <w:tcW w:w="1276" w:type="dxa"/>
            <w:vAlign w:val="center"/>
          </w:tcPr>
          <w:p>
            <w:pPr>
              <w:pStyle w:val="13"/>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被采纳的意见建议数量占总数量的比率</w:t>
            </w:r>
          </w:p>
        </w:tc>
        <w:tc>
          <w:tcPr>
            <w:tcW w:w="2268" w:type="dxa"/>
            <w:vAlign w:val="center"/>
          </w:tcPr>
          <w:p>
            <w:pPr>
              <w:pStyle w:val="13"/>
            </w:pPr>
            <w:r>
              <w:t>≥90%</w:t>
            </w:r>
          </w:p>
        </w:tc>
        <w:tc>
          <w:tcPr>
            <w:tcW w:w="1276" w:type="dxa"/>
            <w:vAlign w:val="center"/>
          </w:tcPr>
          <w:p>
            <w:pPr>
              <w:pStyle w:val="13"/>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根据各党派年度调研工作计划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7、民主党派业务培训费绩效目标表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13020024P00683110250J</w:t>
            </w:r>
          </w:p>
        </w:tc>
        <w:tc>
          <w:tcPr>
            <w:tcW w:w="2835" w:type="dxa"/>
            <w:vAlign w:val="center"/>
          </w:tcPr>
          <w:p>
            <w:pPr>
              <w:pStyle w:val="11"/>
            </w:pPr>
            <w:r>
              <w:t>项目名称</w:t>
            </w:r>
          </w:p>
        </w:tc>
        <w:tc>
          <w:tcPr>
            <w:tcW w:w="6094" w:type="dxa"/>
            <w:gridSpan w:val="3"/>
            <w:vAlign w:val="center"/>
          </w:tcPr>
          <w:p>
            <w:pPr>
              <w:pStyle w:val="13"/>
            </w:pPr>
            <w:r>
              <w:t>民主党派业务培训费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w:t>
            </w:r>
          </w:p>
        </w:tc>
        <w:tc>
          <w:tcPr>
            <w:tcW w:w="2835" w:type="dxa"/>
            <w:vAlign w:val="center"/>
          </w:tcPr>
          <w:p>
            <w:pPr>
              <w:pStyle w:val="11"/>
            </w:pPr>
            <w:r>
              <w:t>其中：财政    资金</w:t>
            </w:r>
          </w:p>
        </w:tc>
        <w:tc>
          <w:tcPr>
            <w:tcW w:w="2551" w:type="dxa"/>
            <w:vAlign w:val="center"/>
          </w:tcPr>
          <w:p>
            <w:pPr>
              <w:pStyle w:val="13"/>
            </w:pPr>
            <w:r>
              <w:t>5.90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各民主党派专项培训费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100%</w:t>
            </w:r>
          </w:p>
        </w:tc>
        <w:tc>
          <w:tcPr>
            <w:tcW w:w="1276" w:type="dxa"/>
            <w:vAlign w:val="center"/>
          </w:tcPr>
          <w:p>
            <w:pPr>
              <w:pStyle w:val="13"/>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根据年度培训计划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8、台湾形势报告会会议费绩效目标表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13020024P006E4210003T</w:t>
            </w:r>
          </w:p>
        </w:tc>
        <w:tc>
          <w:tcPr>
            <w:tcW w:w="2835" w:type="dxa"/>
            <w:vAlign w:val="center"/>
          </w:tcPr>
          <w:p>
            <w:pPr>
              <w:pStyle w:val="11"/>
            </w:pPr>
            <w:r>
              <w:t>项目名称</w:t>
            </w:r>
          </w:p>
        </w:tc>
        <w:tc>
          <w:tcPr>
            <w:tcW w:w="6094" w:type="dxa"/>
            <w:gridSpan w:val="3"/>
            <w:vAlign w:val="center"/>
          </w:tcPr>
          <w:p>
            <w:pPr>
              <w:pStyle w:val="13"/>
            </w:pPr>
            <w:r>
              <w:t>台湾形势报告会会议费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w:t>
            </w:r>
          </w:p>
        </w:tc>
        <w:tc>
          <w:tcPr>
            <w:tcW w:w="2835" w:type="dxa"/>
            <w:vAlign w:val="center"/>
          </w:tcPr>
          <w:p>
            <w:pPr>
              <w:pStyle w:val="11"/>
            </w:pPr>
            <w:r>
              <w:t>其中：财政    资金</w:t>
            </w:r>
          </w:p>
        </w:tc>
        <w:tc>
          <w:tcPr>
            <w:tcW w:w="2551" w:type="dxa"/>
            <w:vAlign w:val="center"/>
          </w:tcPr>
          <w:p>
            <w:pPr>
              <w:pStyle w:val="13"/>
            </w:pPr>
            <w:r>
              <w:t>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台湾形势专题报告会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9、统战部工作特费绩效目标表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13020024P006RHN10003F</w:t>
            </w:r>
          </w:p>
        </w:tc>
        <w:tc>
          <w:tcPr>
            <w:tcW w:w="2835" w:type="dxa"/>
            <w:vAlign w:val="center"/>
          </w:tcPr>
          <w:p>
            <w:pPr>
              <w:pStyle w:val="11"/>
            </w:pPr>
            <w:r>
              <w:t>项目名称</w:t>
            </w:r>
          </w:p>
        </w:tc>
        <w:tc>
          <w:tcPr>
            <w:tcW w:w="6094" w:type="dxa"/>
            <w:gridSpan w:val="3"/>
            <w:vAlign w:val="center"/>
          </w:tcPr>
          <w:p>
            <w:pPr>
              <w:pStyle w:val="13"/>
            </w:pPr>
            <w:r>
              <w:t>统战部工作特费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13.29</w:t>
            </w:r>
          </w:p>
        </w:tc>
        <w:tc>
          <w:tcPr>
            <w:tcW w:w="2835" w:type="dxa"/>
            <w:vAlign w:val="center"/>
          </w:tcPr>
          <w:p>
            <w:pPr>
              <w:pStyle w:val="11"/>
            </w:pPr>
            <w:r>
              <w:t>其中：财政    资金</w:t>
            </w:r>
          </w:p>
        </w:tc>
        <w:tc>
          <w:tcPr>
            <w:tcW w:w="2551" w:type="dxa"/>
            <w:vAlign w:val="center"/>
          </w:tcPr>
          <w:p>
            <w:pPr>
              <w:pStyle w:val="13"/>
            </w:pPr>
            <w:r>
              <w:t>13.29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联系慰问各民主党派、民族宗教界上层人士、非公经济人士、党外干部、新的社会阶层人士、海外华侨、侨胞侨眷以及在统战工作中有影响的党外代表人士所发生的费用。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10、统战部及民主党派年度专项会议费绩效目标表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13020024P00682910244B</w:t>
            </w:r>
          </w:p>
        </w:tc>
        <w:tc>
          <w:tcPr>
            <w:tcW w:w="2835" w:type="dxa"/>
            <w:vAlign w:val="center"/>
          </w:tcPr>
          <w:p>
            <w:pPr>
              <w:pStyle w:val="11"/>
            </w:pPr>
            <w:r>
              <w:t>项目名称</w:t>
            </w:r>
          </w:p>
        </w:tc>
        <w:tc>
          <w:tcPr>
            <w:tcW w:w="6094" w:type="dxa"/>
            <w:gridSpan w:val="3"/>
            <w:vAlign w:val="center"/>
          </w:tcPr>
          <w:p>
            <w:pPr>
              <w:pStyle w:val="13"/>
            </w:pPr>
            <w:r>
              <w:t>统战部及民主党派年度专项会议费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10.66</w:t>
            </w:r>
          </w:p>
        </w:tc>
        <w:tc>
          <w:tcPr>
            <w:tcW w:w="2835" w:type="dxa"/>
            <w:vAlign w:val="center"/>
          </w:tcPr>
          <w:p>
            <w:pPr>
              <w:pStyle w:val="11"/>
            </w:pPr>
            <w:r>
              <w:t>其中：财政    资金</w:t>
            </w:r>
          </w:p>
        </w:tc>
        <w:tc>
          <w:tcPr>
            <w:tcW w:w="2551" w:type="dxa"/>
            <w:vAlign w:val="center"/>
          </w:tcPr>
          <w:p>
            <w:pPr>
              <w:pStyle w:val="13"/>
            </w:pPr>
            <w:r>
              <w:t>10.66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统战部和6个民党派年度专项会议费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11、统战部宣传工作经费绩效目标表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13020024P006835101894</w:t>
            </w:r>
          </w:p>
        </w:tc>
        <w:tc>
          <w:tcPr>
            <w:tcW w:w="2835" w:type="dxa"/>
            <w:vAlign w:val="center"/>
          </w:tcPr>
          <w:p>
            <w:pPr>
              <w:pStyle w:val="11"/>
            </w:pPr>
            <w:r>
              <w:t>项目名称</w:t>
            </w:r>
          </w:p>
        </w:tc>
        <w:tc>
          <w:tcPr>
            <w:tcW w:w="6094" w:type="dxa"/>
            <w:gridSpan w:val="3"/>
            <w:vAlign w:val="center"/>
          </w:tcPr>
          <w:p>
            <w:pPr>
              <w:pStyle w:val="13"/>
            </w:pPr>
            <w:r>
              <w:t>统战部宣传工作经费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20.11</w:t>
            </w:r>
          </w:p>
        </w:tc>
        <w:tc>
          <w:tcPr>
            <w:tcW w:w="2835" w:type="dxa"/>
            <w:vAlign w:val="center"/>
          </w:tcPr>
          <w:p>
            <w:pPr>
              <w:pStyle w:val="11"/>
            </w:pPr>
            <w:r>
              <w:t>其中：财政    资金</w:t>
            </w:r>
          </w:p>
        </w:tc>
        <w:tc>
          <w:tcPr>
            <w:tcW w:w="2551" w:type="dxa"/>
            <w:vAlign w:val="center"/>
          </w:tcPr>
          <w:p>
            <w:pPr>
              <w:pStyle w:val="13"/>
            </w:pPr>
            <w:r>
              <w:t>20.11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唐山统一战线、微信公众号运维和管理，民主党派宣传工作及非公经济人士学习和综全评价工作。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宣传覆盖率（%）</w:t>
            </w:r>
          </w:p>
        </w:tc>
        <w:tc>
          <w:tcPr>
            <w:tcW w:w="5386" w:type="dxa"/>
            <w:vAlign w:val="center"/>
          </w:tcPr>
          <w:p>
            <w:pPr>
              <w:pStyle w:val="13"/>
            </w:pPr>
            <w:r>
              <w:t>宣传覆盖率（%）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宣传完成率（%）</w:t>
            </w:r>
          </w:p>
        </w:tc>
        <w:tc>
          <w:tcPr>
            <w:tcW w:w="5386" w:type="dxa"/>
            <w:vAlign w:val="center"/>
          </w:tcPr>
          <w:p>
            <w:pPr>
              <w:pStyle w:val="13"/>
            </w:pPr>
            <w:r>
              <w:t>宣传完成率（%）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宣传影响力</w:t>
            </w:r>
          </w:p>
        </w:tc>
        <w:tc>
          <w:tcPr>
            <w:tcW w:w="5386" w:type="dxa"/>
            <w:vAlign w:val="center"/>
          </w:tcPr>
          <w:p>
            <w:pPr>
              <w:pStyle w:val="13"/>
            </w:pPr>
            <w:r>
              <w:t>宣传影响力</w:t>
            </w:r>
          </w:p>
        </w:tc>
        <w:tc>
          <w:tcPr>
            <w:tcW w:w="2268" w:type="dxa"/>
            <w:vAlign w:val="center"/>
          </w:tcPr>
          <w:p>
            <w:pPr>
              <w:pStyle w:val="13"/>
            </w:pPr>
            <w:r>
              <w:t>有所提升</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12、统战对象及统战干部业务培训费绩效目标表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13020024P006831102516</w:t>
            </w:r>
          </w:p>
        </w:tc>
        <w:tc>
          <w:tcPr>
            <w:tcW w:w="2835" w:type="dxa"/>
            <w:vAlign w:val="center"/>
          </w:tcPr>
          <w:p>
            <w:pPr>
              <w:pStyle w:val="11"/>
            </w:pPr>
            <w:r>
              <w:t>项目名称</w:t>
            </w:r>
          </w:p>
        </w:tc>
        <w:tc>
          <w:tcPr>
            <w:tcW w:w="6094" w:type="dxa"/>
            <w:gridSpan w:val="3"/>
            <w:vAlign w:val="center"/>
          </w:tcPr>
          <w:p>
            <w:pPr>
              <w:pStyle w:val="13"/>
            </w:pPr>
            <w:r>
              <w:t>统战对象及统战干部业务培训费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24.15</w:t>
            </w:r>
          </w:p>
        </w:tc>
        <w:tc>
          <w:tcPr>
            <w:tcW w:w="2835" w:type="dxa"/>
            <w:vAlign w:val="center"/>
          </w:tcPr>
          <w:p>
            <w:pPr>
              <w:pStyle w:val="11"/>
            </w:pPr>
            <w:r>
              <w:t>其中：财政    资金</w:t>
            </w:r>
          </w:p>
        </w:tc>
        <w:tc>
          <w:tcPr>
            <w:tcW w:w="2551" w:type="dxa"/>
            <w:vAlign w:val="center"/>
          </w:tcPr>
          <w:p>
            <w:pPr>
              <w:pStyle w:val="13"/>
            </w:pPr>
            <w:r>
              <w:t>24.15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培训费支出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100%</w:t>
            </w:r>
          </w:p>
        </w:tc>
        <w:tc>
          <w:tcPr>
            <w:tcW w:w="1276" w:type="dxa"/>
            <w:vAlign w:val="center"/>
          </w:tcPr>
          <w:p>
            <w:pPr>
              <w:pStyle w:val="13"/>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根据年度培训工作安排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13、宗教维稳经费绩效目标表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13020024P00F062100034</w:t>
            </w:r>
          </w:p>
        </w:tc>
        <w:tc>
          <w:tcPr>
            <w:tcW w:w="2835" w:type="dxa"/>
            <w:vAlign w:val="center"/>
          </w:tcPr>
          <w:p>
            <w:pPr>
              <w:pStyle w:val="11"/>
            </w:pPr>
            <w:r>
              <w:t>项目名称</w:t>
            </w:r>
          </w:p>
        </w:tc>
        <w:tc>
          <w:tcPr>
            <w:tcW w:w="6094" w:type="dxa"/>
            <w:gridSpan w:val="3"/>
            <w:vAlign w:val="center"/>
          </w:tcPr>
          <w:p>
            <w:pPr>
              <w:pStyle w:val="13"/>
            </w:pPr>
            <w:r>
              <w:t>宗教维稳经费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28.12</w:t>
            </w:r>
          </w:p>
        </w:tc>
        <w:tc>
          <w:tcPr>
            <w:tcW w:w="2835" w:type="dxa"/>
            <w:vAlign w:val="center"/>
          </w:tcPr>
          <w:p>
            <w:pPr>
              <w:pStyle w:val="11"/>
            </w:pPr>
            <w:r>
              <w:t>其中：财政    资金</w:t>
            </w:r>
          </w:p>
        </w:tc>
        <w:tc>
          <w:tcPr>
            <w:tcW w:w="2551" w:type="dxa"/>
            <w:vAlign w:val="center"/>
          </w:tcPr>
          <w:p>
            <w:pPr>
              <w:pStyle w:val="13"/>
            </w:pPr>
            <w:r>
              <w:t>28.12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处置宗教领域突发事件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根据年度工作安排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14、基层宗教事务专项经费绩效目标表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13020024P007508100029</w:t>
            </w:r>
          </w:p>
        </w:tc>
        <w:tc>
          <w:tcPr>
            <w:tcW w:w="2835" w:type="dxa"/>
            <w:vAlign w:val="center"/>
          </w:tcPr>
          <w:p>
            <w:pPr>
              <w:pStyle w:val="11"/>
            </w:pPr>
            <w:r>
              <w:t>项目名称</w:t>
            </w:r>
          </w:p>
        </w:tc>
        <w:tc>
          <w:tcPr>
            <w:tcW w:w="6094" w:type="dxa"/>
            <w:gridSpan w:val="3"/>
            <w:vAlign w:val="center"/>
          </w:tcPr>
          <w:p>
            <w:pPr>
              <w:pStyle w:val="13"/>
            </w:pPr>
            <w:r>
              <w:t>基层宗教事务专项经费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用于市辖区基层宗教工作支出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工作完成率100%</w:t>
            </w:r>
          </w:p>
        </w:tc>
        <w:tc>
          <w:tcPr>
            <w:tcW w:w="5386" w:type="dxa"/>
            <w:vAlign w:val="center"/>
          </w:tcPr>
          <w:p>
            <w:pPr>
              <w:pStyle w:val="13"/>
            </w:pPr>
            <w:r>
              <w:t>工作完成率100%</w:t>
            </w:r>
          </w:p>
        </w:tc>
        <w:tc>
          <w:tcPr>
            <w:tcW w:w="2268" w:type="dxa"/>
            <w:vAlign w:val="center"/>
          </w:tcPr>
          <w:p>
            <w:pPr>
              <w:pStyle w:val="13"/>
            </w:pPr>
            <w:r>
              <w:t>100%</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工作合格率100%</w:t>
            </w:r>
          </w:p>
        </w:tc>
        <w:tc>
          <w:tcPr>
            <w:tcW w:w="5386" w:type="dxa"/>
            <w:vAlign w:val="center"/>
          </w:tcPr>
          <w:p>
            <w:pPr>
              <w:pStyle w:val="13"/>
            </w:pPr>
            <w:r>
              <w:t>工作合格率100%</w:t>
            </w:r>
          </w:p>
        </w:tc>
        <w:tc>
          <w:tcPr>
            <w:tcW w:w="2268" w:type="dxa"/>
            <w:vAlign w:val="center"/>
          </w:tcPr>
          <w:p>
            <w:pPr>
              <w:pStyle w:val="13"/>
            </w:pPr>
            <w:r>
              <w:t>100%</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≥90%</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2024年12月31日</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服务对象满意指标</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15、省级基层宗教事务管理补助经费绩效目标表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13020024P007484100038</w:t>
            </w:r>
          </w:p>
        </w:tc>
        <w:tc>
          <w:tcPr>
            <w:tcW w:w="2835" w:type="dxa"/>
            <w:vAlign w:val="center"/>
          </w:tcPr>
          <w:p>
            <w:pPr>
              <w:pStyle w:val="11"/>
            </w:pPr>
            <w:r>
              <w:t>项目名称</w:t>
            </w:r>
          </w:p>
        </w:tc>
        <w:tc>
          <w:tcPr>
            <w:tcW w:w="6094" w:type="dxa"/>
            <w:gridSpan w:val="3"/>
            <w:vAlign w:val="center"/>
          </w:tcPr>
          <w:p>
            <w:pPr>
              <w:pStyle w:val="13"/>
            </w:pPr>
            <w:r>
              <w:t>省级基层宗教事务管理补助经费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维护宗教领域和谐稳定，体现党和政府对宗教界的关心关爱，支持宗教界深入开展主题教育活动，补充基层统战部门宗教工作经费。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工作完成率100%</w:t>
            </w:r>
          </w:p>
        </w:tc>
        <w:tc>
          <w:tcPr>
            <w:tcW w:w="5386" w:type="dxa"/>
            <w:vAlign w:val="center"/>
          </w:tcPr>
          <w:p>
            <w:pPr>
              <w:pStyle w:val="13"/>
            </w:pPr>
            <w:r>
              <w:t>工作完成率100%</w:t>
            </w:r>
          </w:p>
        </w:tc>
        <w:tc>
          <w:tcPr>
            <w:tcW w:w="2268" w:type="dxa"/>
            <w:vAlign w:val="center"/>
          </w:tcPr>
          <w:p>
            <w:pPr>
              <w:pStyle w:val="13"/>
            </w:pPr>
            <w:r>
              <w:t>100</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工作合格率100%</w:t>
            </w:r>
          </w:p>
        </w:tc>
        <w:tc>
          <w:tcPr>
            <w:tcW w:w="5386" w:type="dxa"/>
            <w:vAlign w:val="center"/>
          </w:tcPr>
          <w:p>
            <w:pPr>
              <w:pStyle w:val="13"/>
            </w:pPr>
            <w:r>
              <w:t>工作合格率100%</w:t>
            </w:r>
          </w:p>
        </w:tc>
        <w:tc>
          <w:tcPr>
            <w:tcW w:w="2268" w:type="dxa"/>
            <w:vAlign w:val="center"/>
          </w:tcPr>
          <w:p>
            <w:pPr>
              <w:pStyle w:val="13"/>
            </w:pPr>
            <w:r>
              <w:t>100</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≥90</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2024年12月31日</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根据工作安排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16、视频会议室建设绩效目标表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13020024P00761110001W</w:t>
            </w:r>
          </w:p>
        </w:tc>
        <w:tc>
          <w:tcPr>
            <w:tcW w:w="2835" w:type="dxa"/>
            <w:vAlign w:val="center"/>
          </w:tcPr>
          <w:p>
            <w:pPr>
              <w:pStyle w:val="11"/>
            </w:pPr>
            <w:r>
              <w:t>项目名称</w:t>
            </w:r>
          </w:p>
        </w:tc>
        <w:tc>
          <w:tcPr>
            <w:tcW w:w="6094" w:type="dxa"/>
            <w:gridSpan w:val="3"/>
            <w:vAlign w:val="center"/>
          </w:tcPr>
          <w:p>
            <w:pPr>
              <w:pStyle w:val="13"/>
            </w:pPr>
            <w:r>
              <w:t>视频会议室建设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28.50</w:t>
            </w:r>
          </w:p>
        </w:tc>
        <w:tc>
          <w:tcPr>
            <w:tcW w:w="2835" w:type="dxa"/>
            <w:vAlign w:val="center"/>
          </w:tcPr>
          <w:p>
            <w:pPr>
              <w:pStyle w:val="11"/>
            </w:pPr>
            <w:r>
              <w:t>其中：财政    资金</w:t>
            </w:r>
          </w:p>
        </w:tc>
        <w:tc>
          <w:tcPr>
            <w:tcW w:w="2551" w:type="dxa"/>
            <w:vAlign w:val="center"/>
          </w:tcPr>
          <w:p>
            <w:pPr>
              <w:pStyle w:val="13"/>
            </w:pPr>
            <w:r>
              <w:t>28.50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建设视频会议室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7"/>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401唐山市委统战部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73.12</w:t>
            </w:r>
          </w:p>
        </w:tc>
        <w:tc>
          <w:tcPr>
            <w:tcW w:w="964" w:type="dxa"/>
            <w:vAlign w:val="center"/>
          </w:tcPr>
          <w:p>
            <w:pPr>
              <w:pStyle w:val="16"/>
            </w:pPr>
            <w:r>
              <w:t>73.12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唐山市委统战部本级小计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72.17</w:t>
            </w:r>
          </w:p>
        </w:tc>
        <w:tc>
          <w:tcPr>
            <w:tcW w:w="964" w:type="dxa"/>
            <w:vAlign w:val="center"/>
          </w:tcPr>
          <w:p>
            <w:pPr>
              <w:pStyle w:val="16"/>
            </w:pPr>
            <w:r>
              <w:t>72.17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0.03</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盒</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7</w:t>
            </w:r>
          </w:p>
        </w:tc>
        <w:tc>
          <w:tcPr>
            <w:tcW w:w="850" w:type="dxa"/>
            <w:vAlign w:val="center"/>
          </w:tcPr>
          <w:p>
            <w:pPr>
              <w:pStyle w:val="12"/>
            </w:pPr>
            <w:r>
              <w:t>0.28</w:t>
            </w:r>
          </w:p>
        </w:tc>
        <w:tc>
          <w:tcPr>
            <w:tcW w:w="964" w:type="dxa"/>
            <w:vAlign w:val="center"/>
          </w:tcPr>
          <w:p>
            <w:pPr>
              <w:pStyle w:val="12"/>
            </w:pPr>
            <w:r>
              <w:t>1.96</w:t>
            </w:r>
          </w:p>
        </w:tc>
        <w:tc>
          <w:tcPr>
            <w:tcW w:w="964" w:type="dxa"/>
            <w:vAlign w:val="center"/>
          </w:tcPr>
          <w:p>
            <w:pPr>
              <w:pStyle w:val="12"/>
            </w:pPr>
            <w:r>
              <w:t>1.96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4.40</w:t>
            </w:r>
          </w:p>
        </w:tc>
        <w:tc>
          <w:tcPr>
            <w:tcW w:w="964" w:type="dxa"/>
            <w:vAlign w:val="center"/>
          </w:tcPr>
          <w:p>
            <w:pPr>
              <w:pStyle w:val="12"/>
            </w:pPr>
            <w:r>
              <w:t>4.40</w:t>
            </w:r>
          </w:p>
        </w:tc>
        <w:tc>
          <w:tcPr>
            <w:tcW w:w="964" w:type="dxa"/>
            <w:vAlign w:val="center"/>
          </w:tcPr>
          <w:p>
            <w:pPr>
              <w:pStyle w:val="12"/>
            </w:pPr>
            <w:r>
              <w:t>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7</w:t>
            </w:r>
          </w:p>
        </w:tc>
        <w:tc>
          <w:tcPr>
            <w:tcW w:w="850" w:type="dxa"/>
            <w:vAlign w:val="center"/>
          </w:tcPr>
          <w:p>
            <w:pPr>
              <w:pStyle w:val="12"/>
            </w:pPr>
            <w:r>
              <w:t>0.80</w:t>
            </w:r>
          </w:p>
        </w:tc>
        <w:tc>
          <w:tcPr>
            <w:tcW w:w="964" w:type="dxa"/>
            <w:vAlign w:val="center"/>
          </w:tcPr>
          <w:p>
            <w:pPr>
              <w:pStyle w:val="12"/>
            </w:pPr>
            <w:r>
              <w:t>5.60</w:t>
            </w:r>
          </w:p>
        </w:tc>
        <w:tc>
          <w:tcPr>
            <w:tcW w:w="964" w:type="dxa"/>
            <w:vAlign w:val="center"/>
          </w:tcPr>
          <w:p>
            <w:pPr>
              <w:pStyle w:val="12"/>
            </w:pPr>
            <w:r>
              <w:t>5.60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99.54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3600</w:t>
            </w:r>
          </w:p>
        </w:tc>
        <w:tc>
          <w:tcPr>
            <w:tcW w:w="850" w:type="dxa"/>
            <w:vAlign w:val="center"/>
          </w:tcPr>
          <w:p>
            <w:pPr>
              <w:pStyle w:val="12"/>
            </w:pPr>
            <w:r>
              <w:t>0.00</w:t>
            </w:r>
          </w:p>
        </w:tc>
        <w:tc>
          <w:tcPr>
            <w:tcW w:w="964" w:type="dxa"/>
            <w:vAlign w:val="center"/>
          </w:tcPr>
          <w:p>
            <w:pPr>
              <w:pStyle w:val="12"/>
            </w:pPr>
            <w:r>
              <w:t>2.88</w:t>
            </w:r>
          </w:p>
        </w:tc>
        <w:tc>
          <w:tcPr>
            <w:tcW w:w="964" w:type="dxa"/>
            <w:vAlign w:val="center"/>
          </w:tcPr>
          <w:p>
            <w:pPr>
              <w:pStyle w:val="12"/>
            </w:pPr>
            <w:r>
              <w:t>2.88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0.06</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6</w:t>
            </w:r>
          </w:p>
        </w:tc>
        <w:tc>
          <w:tcPr>
            <w:tcW w:w="850" w:type="dxa"/>
            <w:vAlign w:val="center"/>
          </w:tcPr>
          <w:p>
            <w:pPr>
              <w:pStyle w:val="12"/>
            </w:pPr>
            <w:r>
              <w:t>0.06</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2.43</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组</w:t>
            </w:r>
          </w:p>
        </w:tc>
        <w:tc>
          <w:tcPr>
            <w:tcW w:w="850" w:type="dxa"/>
            <w:vAlign w:val="center"/>
          </w:tcPr>
          <w:p>
            <w:pPr>
              <w:pStyle w:val="12"/>
            </w:pPr>
            <w:r>
              <w:t>3</w:t>
            </w:r>
          </w:p>
        </w:tc>
        <w:tc>
          <w:tcPr>
            <w:tcW w:w="850" w:type="dxa"/>
            <w:vAlign w:val="center"/>
          </w:tcPr>
          <w:p>
            <w:pPr>
              <w:pStyle w:val="12"/>
            </w:pPr>
            <w:r>
              <w:t>0.07</w:t>
            </w:r>
          </w:p>
        </w:tc>
        <w:tc>
          <w:tcPr>
            <w:tcW w:w="964" w:type="dxa"/>
            <w:vAlign w:val="center"/>
          </w:tcPr>
          <w:p>
            <w:pPr>
              <w:pStyle w:val="12"/>
            </w:pPr>
            <w:r>
              <w:t>0.21</w:t>
            </w:r>
          </w:p>
        </w:tc>
        <w:tc>
          <w:tcPr>
            <w:tcW w:w="964" w:type="dxa"/>
            <w:vAlign w:val="center"/>
          </w:tcPr>
          <w:p>
            <w:pPr>
              <w:pStyle w:val="12"/>
            </w:pPr>
            <w:r>
              <w:t>0.21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党外知识分子及民主党派调研经费</w:t>
            </w:r>
          </w:p>
        </w:tc>
        <w:tc>
          <w:tcPr>
            <w:tcW w:w="964" w:type="dxa"/>
            <w:vAlign w:val="center"/>
          </w:tcPr>
          <w:p>
            <w:pPr>
              <w:pStyle w:val="12"/>
            </w:pPr>
            <w:r>
              <w:t>6.10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0.05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会刊期刊专项印刷费</w:t>
            </w:r>
          </w:p>
        </w:tc>
        <w:tc>
          <w:tcPr>
            <w:tcW w:w="964" w:type="dxa"/>
            <w:vAlign w:val="center"/>
          </w:tcPr>
          <w:p>
            <w:pPr>
              <w:pStyle w:val="12"/>
            </w:pPr>
            <w:r>
              <w:t>16.40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16.40</w:t>
            </w:r>
          </w:p>
        </w:tc>
        <w:tc>
          <w:tcPr>
            <w:tcW w:w="964" w:type="dxa"/>
            <w:vAlign w:val="center"/>
          </w:tcPr>
          <w:p>
            <w:pPr>
              <w:pStyle w:val="12"/>
            </w:pPr>
            <w:r>
              <w:t>16.40</w:t>
            </w:r>
          </w:p>
        </w:tc>
        <w:tc>
          <w:tcPr>
            <w:tcW w:w="964" w:type="dxa"/>
            <w:vAlign w:val="center"/>
          </w:tcPr>
          <w:p>
            <w:pPr>
              <w:pStyle w:val="12"/>
            </w:pPr>
            <w:r>
              <w:t>16.40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民主党派及无党派代表人士调研经费</w:t>
            </w:r>
          </w:p>
        </w:tc>
        <w:tc>
          <w:tcPr>
            <w:tcW w:w="964" w:type="dxa"/>
            <w:vAlign w:val="center"/>
          </w:tcPr>
          <w:p>
            <w:pPr>
              <w:pStyle w:val="12"/>
            </w:pPr>
            <w:r>
              <w:t>135.80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0.10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民主党派及无党派代表人士调研经费</w:t>
            </w:r>
          </w:p>
        </w:tc>
        <w:tc>
          <w:tcPr>
            <w:tcW w:w="964" w:type="dxa"/>
            <w:vAlign w:val="center"/>
          </w:tcPr>
          <w:p>
            <w:pPr>
              <w:pStyle w:val="12"/>
            </w:pPr>
            <w:r>
              <w:t>135.80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200</w:t>
            </w:r>
          </w:p>
        </w:tc>
        <w:tc>
          <w:tcPr>
            <w:tcW w:w="850" w:type="dxa"/>
            <w:vAlign w:val="center"/>
          </w:tcPr>
          <w:p>
            <w:pPr>
              <w:pStyle w:val="12"/>
            </w:pPr>
            <w:r>
              <w:t>0.02</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民主党派及无党派代表人士调研经费</w:t>
            </w:r>
          </w:p>
        </w:tc>
        <w:tc>
          <w:tcPr>
            <w:tcW w:w="964" w:type="dxa"/>
            <w:vAlign w:val="center"/>
          </w:tcPr>
          <w:p>
            <w:pPr>
              <w:pStyle w:val="12"/>
            </w:pPr>
            <w:r>
              <w:t>135.80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50</w:t>
            </w:r>
          </w:p>
        </w:tc>
        <w:tc>
          <w:tcPr>
            <w:tcW w:w="850" w:type="dxa"/>
            <w:vAlign w:val="center"/>
          </w:tcPr>
          <w:p>
            <w:pPr>
              <w:pStyle w:val="12"/>
            </w:pPr>
            <w:r>
              <w:t>0.05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统战部工作特费</w:t>
            </w:r>
          </w:p>
        </w:tc>
        <w:tc>
          <w:tcPr>
            <w:tcW w:w="964" w:type="dxa"/>
            <w:vAlign w:val="center"/>
          </w:tcPr>
          <w:p>
            <w:pPr>
              <w:pStyle w:val="12"/>
            </w:pPr>
            <w:r>
              <w:t>13.29</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统战部宣传工作经费</w:t>
            </w:r>
          </w:p>
        </w:tc>
        <w:tc>
          <w:tcPr>
            <w:tcW w:w="964" w:type="dxa"/>
            <w:vAlign w:val="center"/>
          </w:tcPr>
          <w:p>
            <w:pPr>
              <w:pStyle w:val="12"/>
            </w:pPr>
            <w:r>
              <w:t>20.11</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个</w:t>
            </w:r>
          </w:p>
        </w:tc>
        <w:tc>
          <w:tcPr>
            <w:tcW w:w="850" w:type="dxa"/>
            <w:vAlign w:val="center"/>
          </w:tcPr>
          <w:p>
            <w:pPr>
              <w:pStyle w:val="12"/>
            </w:pPr>
            <w:r>
              <w:t>60</w:t>
            </w:r>
          </w:p>
        </w:tc>
        <w:tc>
          <w:tcPr>
            <w:tcW w:w="850" w:type="dxa"/>
            <w:vAlign w:val="center"/>
          </w:tcPr>
          <w:p>
            <w:pPr>
              <w:pStyle w:val="12"/>
            </w:pPr>
            <w:r>
              <w:t>0.10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宗教维稳经费</w:t>
            </w:r>
          </w:p>
        </w:tc>
        <w:tc>
          <w:tcPr>
            <w:tcW w:w="964" w:type="dxa"/>
            <w:vAlign w:val="center"/>
          </w:tcPr>
          <w:p>
            <w:pPr>
              <w:pStyle w:val="12"/>
            </w:pPr>
            <w:r>
              <w:t>28.12</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宗教维稳经费</w:t>
            </w:r>
          </w:p>
        </w:tc>
        <w:tc>
          <w:tcPr>
            <w:tcW w:w="964" w:type="dxa"/>
            <w:vAlign w:val="center"/>
          </w:tcPr>
          <w:p>
            <w:pPr>
              <w:pStyle w:val="12"/>
            </w:pPr>
            <w:r>
              <w:t>28.12</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0.05</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唐山市统战工作服务中心小计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0.95</w:t>
            </w:r>
          </w:p>
        </w:tc>
        <w:tc>
          <w:tcPr>
            <w:tcW w:w="964" w:type="dxa"/>
            <w:vAlign w:val="center"/>
          </w:tcPr>
          <w:p>
            <w:pPr>
              <w:pStyle w:val="16"/>
            </w:pPr>
            <w:r>
              <w:t>0.95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4.50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盒</w:t>
            </w:r>
          </w:p>
        </w:tc>
        <w:tc>
          <w:tcPr>
            <w:tcW w:w="850" w:type="dxa"/>
            <w:vAlign w:val="center"/>
          </w:tcPr>
          <w:p>
            <w:pPr>
              <w:pStyle w:val="12"/>
            </w:pPr>
            <w:r>
              <w:t>25</w:t>
            </w:r>
          </w:p>
        </w:tc>
        <w:tc>
          <w:tcPr>
            <w:tcW w:w="850" w:type="dxa"/>
            <w:vAlign w:val="center"/>
          </w:tcPr>
          <w:p>
            <w:pPr>
              <w:pStyle w:val="12"/>
            </w:pPr>
            <w:r>
              <w:t>0.02</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4.50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平米</w:t>
            </w:r>
          </w:p>
        </w:tc>
        <w:tc>
          <w:tcPr>
            <w:tcW w:w="850" w:type="dxa"/>
            <w:vAlign w:val="center"/>
          </w:tcPr>
          <w:p>
            <w:pPr>
              <w:pStyle w:val="12"/>
            </w:pPr>
            <w:r>
              <w:t>225</w:t>
            </w:r>
          </w:p>
        </w:tc>
        <w:tc>
          <w:tcPr>
            <w:tcW w:w="850" w:type="dxa"/>
            <w:vAlign w:val="center"/>
          </w:tcPr>
          <w:p>
            <w:pPr>
              <w:pStyle w:val="12"/>
            </w:pPr>
            <w:r>
              <w:t>0.00</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唐山市委统战部（含所属单位）上年末固定资产金额为</w:t>
      </w:r>
      <w:r>
        <w:rPr>
          <w:rFonts w:hint="eastAsia" w:eastAsia="方正仿宋_GBK" w:cs="Times New Roman"/>
          <w:b w:val="0"/>
          <w:color w:val="000000"/>
          <w:sz w:val="28"/>
          <w:lang w:val="en-US" w:eastAsia="zh-CN"/>
        </w:rPr>
        <w:t>303.31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73.12</w:t>
      </w:r>
      <w:bookmarkStart w:id="18" w:name="_GoBack"/>
      <w:bookmarkEnd w:id="18"/>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rPr>
                <w:rFonts w:ascii="宋体" w:hAnsi="宋体" w:eastAsia="方正黑体简体"/>
              </w:rPr>
            </w:pPr>
            <w:r>
              <w:rPr>
                <w:rFonts w:ascii="宋体" w:hAnsi="宋体" w:eastAsia="方正黑体简体"/>
              </w:rPr>
              <w:t>401唐山市委统战部</w:t>
            </w:r>
          </w:p>
        </w:tc>
        <w:tc>
          <w:tcPr>
            <w:tcW w:w="9866" w:type="dxa"/>
            <w:gridSpan w:val="2"/>
            <w:tcBorders>
              <w:top w:val="single" w:color="FFFFFF" w:sz="6" w:space="0"/>
              <w:left w:val="single" w:color="FFFFFF" w:sz="6" w:space="0"/>
              <w:right w:val="single" w:color="FFFFFF" w:sz="6" w:space="0"/>
            </w:tcBorders>
            <w:vAlign w:val="center"/>
          </w:tcPr>
          <w:p>
            <w:pPr>
              <w:pStyle w:val="8"/>
              <w:rPr>
                <w:rFonts w:ascii="宋体" w:hAnsi="宋体" w:eastAsia="方正黑体简体"/>
              </w:rPr>
            </w:pPr>
            <w:r>
              <w:rPr>
                <w:rFonts w:ascii="宋体" w:hAnsi="宋体" w:eastAsia="方正黑体简体"/>
              </w:rPr>
              <w:t>截止时间：202</w:t>
            </w:r>
            <w:r>
              <w:rPr>
                <w:rFonts w:hint="eastAsia" w:ascii="宋体" w:hAnsi="宋体" w:eastAsia="方正黑体简体"/>
                <w:lang w:val="en-US" w:eastAsia="zh-CN"/>
              </w:rPr>
              <w:t>3</w:t>
            </w:r>
            <w:r>
              <w:rPr>
                <w:rFonts w:ascii="宋体" w:hAnsi="宋体" w:eastAsia="方正黑体简体"/>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rPr>
                <w:rFonts w:ascii="宋体" w:hAnsi="宋体" w:eastAsia="方正黑体简体"/>
              </w:rPr>
            </w:pPr>
            <w:r>
              <w:rPr>
                <w:rFonts w:ascii="宋体" w:hAnsi="宋体" w:eastAsia="方正黑体简体"/>
              </w:rPr>
              <w:t>项   目</w:t>
            </w:r>
          </w:p>
        </w:tc>
        <w:tc>
          <w:tcPr>
            <w:tcW w:w="4933" w:type="dxa"/>
            <w:vAlign w:val="center"/>
          </w:tcPr>
          <w:p>
            <w:pPr>
              <w:pStyle w:val="11"/>
              <w:rPr>
                <w:rFonts w:ascii="宋体" w:hAnsi="宋体" w:eastAsia="方正黑体简体"/>
              </w:rPr>
            </w:pPr>
            <w:r>
              <w:rPr>
                <w:rFonts w:ascii="宋体" w:hAnsi="宋体" w:eastAsia="方正黑体简体"/>
              </w:rPr>
              <w:t>数量</w:t>
            </w:r>
          </w:p>
        </w:tc>
        <w:tc>
          <w:tcPr>
            <w:tcW w:w="4933" w:type="dxa"/>
            <w:vAlign w:val="center"/>
          </w:tcPr>
          <w:p>
            <w:pPr>
              <w:pStyle w:val="11"/>
              <w:rPr>
                <w:rFonts w:ascii="宋体" w:hAnsi="宋体" w:eastAsia="方正黑体简体"/>
              </w:rPr>
            </w:pPr>
            <w:r>
              <w:rPr>
                <w:rFonts w:ascii="宋体" w:hAnsi="宋体" w:eastAsia="方正黑体简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eastAsia" w:ascii="宋体" w:hAnsi="宋体" w:eastAsia="方正黑体简体"/>
                <w:lang w:eastAsia="zh-CN"/>
              </w:rPr>
            </w:pPr>
            <w:r>
              <w:rPr>
                <w:rFonts w:hint="eastAsia" w:ascii="宋体" w:hAnsi="宋体" w:eastAsia="方正黑体简体"/>
                <w:lang w:eastAsia="zh-CN"/>
              </w:rPr>
              <w:t>资产总额</w:t>
            </w:r>
          </w:p>
        </w:tc>
        <w:tc>
          <w:tcPr>
            <w:tcW w:w="4933" w:type="dxa"/>
            <w:vAlign w:val="center"/>
          </w:tcPr>
          <w:p>
            <w:pPr>
              <w:pStyle w:val="14"/>
              <w:rPr>
                <w:rFonts w:hint="default" w:ascii="宋体" w:hAnsi="宋体" w:eastAsia="方正黑体简体"/>
                <w:lang w:val="en-US" w:eastAsia="zh-CN"/>
              </w:rPr>
            </w:pPr>
            <w:r>
              <w:rPr>
                <w:rFonts w:hint="eastAsia" w:ascii="宋体" w:hAnsi="宋体" w:eastAsia="方正黑体简体"/>
                <w:lang w:val="en-US" w:eastAsia="zh-CN"/>
              </w:rPr>
              <w:t>881</w:t>
            </w:r>
          </w:p>
        </w:tc>
        <w:tc>
          <w:tcPr>
            <w:tcW w:w="4933" w:type="dxa"/>
            <w:vAlign w:val="center"/>
          </w:tcPr>
          <w:p>
            <w:pPr>
              <w:pStyle w:val="12"/>
              <w:rPr>
                <w:rFonts w:hint="default" w:ascii="宋体" w:hAnsi="宋体" w:eastAsia="方正黑体简体"/>
                <w:lang w:val="en-US" w:eastAsia="zh-CN"/>
              </w:rPr>
            </w:pPr>
            <w:r>
              <w:rPr>
                <w:rFonts w:hint="eastAsia" w:ascii="宋体" w:hAnsi="宋体" w:eastAsia="方正黑体简体"/>
                <w:lang w:val="en-US" w:eastAsia="zh-CN"/>
              </w:rPr>
              <w:t>303.31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ascii="宋体" w:hAnsi="宋体" w:eastAsia="方正黑体简体"/>
                <w:lang w:val="en-US" w:eastAsia="zh-CN"/>
              </w:rPr>
            </w:pPr>
            <w:r>
              <w:rPr>
                <w:rFonts w:hint="eastAsia" w:ascii="宋体" w:hAnsi="宋体" w:eastAsia="方正黑体简体"/>
                <w:lang w:val="en-US" w:eastAsia="zh-CN"/>
              </w:rPr>
              <w:t>1.房屋（平方米）</w:t>
            </w:r>
          </w:p>
        </w:tc>
        <w:tc>
          <w:tcPr>
            <w:tcW w:w="4933" w:type="dxa"/>
            <w:vAlign w:val="center"/>
          </w:tcPr>
          <w:p>
            <w:pPr>
              <w:pStyle w:val="14"/>
              <w:rPr>
                <w:rFonts w:ascii="宋体" w:hAnsi="宋体" w:eastAsia="方正黑体简体"/>
              </w:rPr>
            </w:pPr>
          </w:p>
        </w:tc>
        <w:tc>
          <w:tcPr>
            <w:tcW w:w="4933" w:type="dxa"/>
            <w:vAlign w:val="center"/>
          </w:tcPr>
          <w:p>
            <w:pPr>
              <w:pStyle w:val="12"/>
              <w:rPr>
                <w:rFonts w:ascii="宋体" w:hAnsi="宋体" w:eastAsia="方正黑体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210" w:firstLineChars="100"/>
              <w:rPr>
                <w:rFonts w:hint="eastAsia" w:ascii="宋体" w:hAnsi="宋体" w:eastAsia="方正黑体简体"/>
                <w:lang w:eastAsia="zh-CN"/>
              </w:rPr>
            </w:pPr>
            <w:r>
              <w:rPr>
                <w:rFonts w:hint="eastAsia" w:ascii="宋体" w:hAnsi="宋体" w:eastAsia="方正黑体简体"/>
                <w:lang w:eastAsia="zh-CN"/>
              </w:rPr>
              <w:t>其中：办公用房（平方米）</w:t>
            </w:r>
          </w:p>
        </w:tc>
        <w:tc>
          <w:tcPr>
            <w:tcW w:w="4933" w:type="dxa"/>
            <w:vAlign w:val="center"/>
          </w:tcPr>
          <w:p>
            <w:pPr>
              <w:pStyle w:val="14"/>
              <w:rPr>
                <w:rFonts w:ascii="宋体" w:hAnsi="宋体" w:eastAsia="方正黑体简体"/>
              </w:rPr>
            </w:pPr>
          </w:p>
        </w:tc>
        <w:tc>
          <w:tcPr>
            <w:tcW w:w="4933" w:type="dxa"/>
            <w:vAlign w:val="center"/>
          </w:tcPr>
          <w:p>
            <w:pPr>
              <w:pStyle w:val="12"/>
              <w:rPr>
                <w:rFonts w:ascii="宋体" w:hAnsi="宋体" w:eastAsia="方正黑体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ascii="宋体" w:hAnsi="宋体" w:eastAsia="方正黑体简体"/>
                <w:lang w:val="en-US" w:eastAsia="zh-CN"/>
              </w:rPr>
            </w:pPr>
            <w:r>
              <w:rPr>
                <w:rFonts w:hint="eastAsia" w:ascii="宋体" w:hAnsi="宋体" w:eastAsia="方正黑体简体"/>
                <w:lang w:val="en-US" w:eastAsia="zh-CN"/>
              </w:rPr>
              <w:t>2.车辆(台、车辆）</w:t>
            </w:r>
          </w:p>
        </w:tc>
        <w:tc>
          <w:tcPr>
            <w:tcW w:w="4933" w:type="dxa"/>
            <w:vAlign w:val="center"/>
          </w:tcPr>
          <w:p>
            <w:pPr>
              <w:pStyle w:val="14"/>
              <w:rPr>
                <w:rFonts w:hint="eastAsia" w:ascii="宋体" w:hAnsi="宋体" w:eastAsia="方正黑体简体"/>
                <w:lang w:val="en-US" w:eastAsia="zh-CN"/>
              </w:rPr>
            </w:pPr>
            <w:r>
              <w:rPr>
                <w:rFonts w:hint="eastAsia" w:ascii="宋体" w:hAnsi="宋体" w:eastAsia="方正黑体简体"/>
                <w:lang w:val="en-US" w:eastAsia="zh-CN"/>
              </w:rPr>
              <w:t>7</w:t>
            </w:r>
          </w:p>
        </w:tc>
        <w:tc>
          <w:tcPr>
            <w:tcW w:w="4933" w:type="dxa"/>
            <w:vAlign w:val="center"/>
          </w:tcPr>
          <w:p>
            <w:pPr>
              <w:pStyle w:val="12"/>
              <w:rPr>
                <w:rFonts w:hint="default" w:ascii="宋体" w:hAnsi="宋体" w:eastAsia="方正黑体简体"/>
                <w:lang w:val="en-US" w:eastAsia="zh-CN"/>
              </w:rPr>
            </w:pPr>
            <w:r>
              <w:rPr>
                <w:rFonts w:hint="eastAsia" w:ascii="宋体" w:hAnsi="宋体" w:eastAsia="方正黑体简体"/>
                <w:lang w:val="en-US" w:eastAsia="zh-CN"/>
              </w:rPr>
              <w:t>152.58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ascii="宋体" w:hAnsi="宋体" w:eastAsia="方正黑体简体"/>
                <w:lang w:val="en-US" w:eastAsia="zh-CN"/>
              </w:rPr>
            </w:pPr>
            <w:r>
              <w:rPr>
                <w:rFonts w:hint="eastAsia" w:ascii="宋体" w:hAnsi="宋体" w:eastAsia="方正黑体简体"/>
                <w:lang w:val="en-US" w:eastAsia="zh-CN"/>
              </w:rPr>
              <w:t>3.单价在20万元以上的设备</w:t>
            </w:r>
          </w:p>
        </w:tc>
        <w:tc>
          <w:tcPr>
            <w:tcW w:w="4933" w:type="dxa"/>
            <w:vAlign w:val="center"/>
          </w:tcPr>
          <w:p>
            <w:pPr>
              <w:pStyle w:val="14"/>
              <w:rPr>
                <w:rFonts w:ascii="宋体" w:hAnsi="宋体" w:eastAsia="方正黑体简体"/>
              </w:rPr>
            </w:pPr>
          </w:p>
        </w:tc>
        <w:tc>
          <w:tcPr>
            <w:tcW w:w="4933" w:type="dxa"/>
            <w:vAlign w:val="center"/>
          </w:tcPr>
          <w:p>
            <w:pPr>
              <w:pStyle w:val="12"/>
              <w:rPr>
                <w:rFonts w:ascii="宋体" w:hAnsi="宋体" w:eastAsia="方正黑体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ascii="宋体" w:hAnsi="宋体" w:eastAsia="方正黑体简体"/>
                <w:lang w:val="en-US" w:eastAsia="zh-CN"/>
              </w:rPr>
            </w:pPr>
            <w:r>
              <w:rPr>
                <w:rFonts w:hint="eastAsia" w:ascii="宋体" w:hAnsi="宋体" w:eastAsia="方正黑体简体"/>
                <w:lang w:val="en-US" w:eastAsia="zh-CN"/>
              </w:rPr>
              <w:t>4.其他固定资产</w:t>
            </w:r>
          </w:p>
        </w:tc>
        <w:tc>
          <w:tcPr>
            <w:tcW w:w="4933" w:type="dxa"/>
            <w:vAlign w:val="center"/>
          </w:tcPr>
          <w:p>
            <w:pPr>
              <w:pStyle w:val="14"/>
              <w:rPr>
                <w:rFonts w:hint="default" w:ascii="宋体" w:hAnsi="宋体" w:eastAsia="方正黑体简体"/>
                <w:lang w:val="en-US" w:eastAsia="zh-CN"/>
              </w:rPr>
            </w:pPr>
            <w:r>
              <w:rPr>
                <w:rFonts w:hint="eastAsia" w:ascii="宋体" w:hAnsi="宋体" w:eastAsia="方正黑体简体"/>
                <w:lang w:val="en-US" w:eastAsia="zh-CN"/>
              </w:rPr>
              <w:t>874</w:t>
            </w:r>
          </w:p>
        </w:tc>
        <w:tc>
          <w:tcPr>
            <w:tcW w:w="4933" w:type="dxa"/>
            <w:vAlign w:val="center"/>
          </w:tcPr>
          <w:p>
            <w:pPr>
              <w:pStyle w:val="12"/>
              <w:rPr>
                <w:rFonts w:hint="default" w:ascii="宋体" w:hAnsi="宋体" w:eastAsia="方正黑体简体"/>
                <w:lang w:val="en-US" w:eastAsia="zh-CN"/>
              </w:rPr>
            </w:pPr>
            <w:r>
              <w:rPr>
                <w:rFonts w:hint="eastAsia" w:ascii="宋体" w:hAnsi="宋体" w:eastAsia="方正黑体简体"/>
                <w:lang w:val="en-US" w:eastAsia="zh-CN"/>
              </w:rPr>
              <w:t>150.73</w:t>
            </w:r>
          </w:p>
        </w:tc>
      </w:tr>
    </w:tbl>
    <w:p>
      <w:pPr>
        <w:spacing w:before="0" w:after="0" w:line="240" w:lineRule="auto"/>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288B4"/>
    <w:multiLevelType w:val="singleLevel"/>
    <w:tmpl w:val="931288B4"/>
    <w:lvl w:ilvl="0" w:tentative="0">
      <w:start w:val="2"/>
      <w:numFmt w:val="chineseCounting"/>
      <w:suff w:val="nothing"/>
      <w:lvlText w:val="（%1）"/>
      <w:lvlJc w:val="left"/>
      <w:rPr>
        <w:rFonts w:hint="eastAsia"/>
      </w:rPr>
    </w:lvl>
  </w:abstractNum>
  <w:abstractNum w:abstractNumId="1">
    <w:nsid w:val="E44A8184"/>
    <w:multiLevelType w:val="singleLevel"/>
    <w:tmpl w:val="E44A8184"/>
    <w:lvl w:ilvl="0" w:tentative="0">
      <w:start w:val="7"/>
      <w:numFmt w:val="decimal"/>
      <w:suff w:val="nothing"/>
      <w:lvlText w:val="%1、"/>
      <w:lvlJc w:val="left"/>
    </w:lvl>
  </w:abstractNum>
  <w:abstractNum w:abstractNumId="2">
    <w:nsid w:val="4679AC88"/>
    <w:multiLevelType w:val="singleLevel"/>
    <w:tmpl w:val="4679AC8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657E"/>
    <w:rsid w:val="03E86D6A"/>
    <w:rsid w:val="054311E4"/>
    <w:rsid w:val="07A32359"/>
    <w:rsid w:val="0BBA77F9"/>
    <w:rsid w:val="0BD769DA"/>
    <w:rsid w:val="0F2D3DAC"/>
    <w:rsid w:val="12505B26"/>
    <w:rsid w:val="137A0E9A"/>
    <w:rsid w:val="15D3590F"/>
    <w:rsid w:val="16F8059A"/>
    <w:rsid w:val="186237A9"/>
    <w:rsid w:val="198B2914"/>
    <w:rsid w:val="1B2C0AF8"/>
    <w:rsid w:val="1B5611D9"/>
    <w:rsid w:val="1C127F2A"/>
    <w:rsid w:val="1D5167FC"/>
    <w:rsid w:val="1DF2468B"/>
    <w:rsid w:val="217712D6"/>
    <w:rsid w:val="24510D30"/>
    <w:rsid w:val="254E22F9"/>
    <w:rsid w:val="27B37DCE"/>
    <w:rsid w:val="29814294"/>
    <w:rsid w:val="2B4A1343"/>
    <w:rsid w:val="2C7A2632"/>
    <w:rsid w:val="2E8F491A"/>
    <w:rsid w:val="323F5190"/>
    <w:rsid w:val="397C0D75"/>
    <w:rsid w:val="3A3261E3"/>
    <w:rsid w:val="3ADD37EB"/>
    <w:rsid w:val="42753FCF"/>
    <w:rsid w:val="45DF7F9C"/>
    <w:rsid w:val="472442C4"/>
    <w:rsid w:val="4A4737A7"/>
    <w:rsid w:val="4B2866A8"/>
    <w:rsid w:val="4E811F24"/>
    <w:rsid w:val="4EBB2760"/>
    <w:rsid w:val="51CF07C6"/>
    <w:rsid w:val="5A560DED"/>
    <w:rsid w:val="5BA2122A"/>
    <w:rsid w:val="60D81934"/>
    <w:rsid w:val="650620E8"/>
    <w:rsid w:val="65E975C6"/>
    <w:rsid w:val="66610275"/>
    <w:rsid w:val="71D56108"/>
    <w:rsid w:val="73D5326D"/>
    <w:rsid w:val="747E3D5C"/>
    <w:rsid w:val="75B41D1D"/>
    <w:rsid w:val="7BAE2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2024-02-04T17:00:21Z</dcterms:created>
  <dcterms:modified xsi:type="dcterms:W3CDTF">2024-02-04T09:00:21Z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2024-02-04T17:00:33Z</dcterms:created>
  <dcterms:modified xsi:type="dcterms:W3CDTF">2024-02-04T09:00:33Z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49a8acf-2bce-4bd4-aae7-9bfae3481b01}">
  <ds:schemaRefs/>
</ds:datastoreItem>
</file>

<file path=customXml/itemProps11.xml><?xml version="1.0" encoding="utf-8"?>
<ds:datastoreItem xmlns:ds="http://schemas.openxmlformats.org/officeDocument/2006/customXml" ds:itemID="{7097df56-3926-4849-8971-25132de4bb03}">
  <ds:schemaRefs/>
</ds:datastoreItem>
</file>

<file path=customXml/itemProps12.xml><?xml version="1.0" encoding="utf-8"?>
<ds:datastoreItem xmlns:ds="http://schemas.openxmlformats.org/officeDocument/2006/customXml" ds:itemID="{c13d922d-f3f4-4c00-af59-6620d29e3334}">
  <ds:schemaRefs/>
</ds:datastoreItem>
</file>

<file path=customXml/itemProps13.xml><?xml version="1.0" encoding="utf-8"?>
<ds:datastoreItem xmlns:ds="http://schemas.openxmlformats.org/officeDocument/2006/customXml" ds:itemID="{fd1d7c58-726b-412f-9999-6fec7a08d588}">
  <ds:schemaRefs/>
</ds:datastoreItem>
</file>

<file path=customXml/itemProps14.xml><?xml version="1.0" encoding="utf-8"?>
<ds:datastoreItem xmlns:ds="http://schemas.openxmlformats.org/officeDocument/2006/customXml" ds:itemID="{b7ddc4de-814d-49f8-82b5-5c5db30644cd}">
  <ds:schemaRefs/>
</ds:datastoreItem>
</file>

<file path=customXml/itemProps15.xml><?xml version="1.0" encoding="utf-8"?>
<ds:datastoreItem xmlns:ds="http://schemas.openxmlformats.org/officeDocument/2006/customXml" ds:itemID="{83abc0d9-b3f4-4634-a83d-64e5b5b57429}">
  <ds:schemaRefs/>
</ds:datastoreItem>
</file>

<file path=customXml/itemProps16.xml><?xml version="1.0" encoding="utf-8"?>
<ds:datastoreItem xmlns:ds="http://schemas.openxmlformats.org/officeDocument/2006/customXml" ds:itemID="{d525d823-4076-46f3-88d8-c6ff684eeab3}">
  <ds:schemaRefs/>
</ds:datastoreItem>
</file>

<file path=customXml/itemProps17.xml><?xml version="1.0" encoding="utf-8"?>
<ds:datastoreItem xmlns:ds="http://schemas.openxmlformats.org/officeDocument/2006/customXml" ds:itemID="{55c94df5-6832-4e2b-83ad-196e3285b041}">
  <ds:schemaRefs/>
</ds:datastoreItem>
</file>

<file path=customXml/itemProps18.xml><?xml version="1.0" encoding="utf-8"?>
<ds:datastoreItem xmlns:ds="http://schemas.openxmlformats.org/officeDocument/2006/customXml" ds:itemID="{d97b3c15-a065-4ff5-8ba7-5272ddbd3a00}">
  <ds:schemaRefs/>
</ds:datastoreItem>
</file>

<file path=customXml/itemProps19.xml><?xml version="1.0" encoding="utf-8"?>
<ds:datastoreItem xmlns:ds="http://schemas.openxmlformats.org/officeDocument/2006/customXml" ds:itemID="{440b3972-d189-4365-986e-6fe6d6df4feb}">
  <ds:schemaRefs/>
</ds:datastoreItem>
</file>

<file path=customXml/itemProps2.xml><?xml version="1.0" encoding="utf-8"?>
<ds:datastoreItem xmlns:ds="http://schemas.openxmlformats.org/officeDocument/2006/customXml" ds:itemID="{a42658fc-6a88-4043-a67d-7f10773181d8}">
  <ds:schemaRefs/>
</ds:datastoreItem>
</file>

<file path=customXml/itemProps20.xml><?xml version="1.0" encoding="utf-8"?>
<ds:datastoreItem xmlns:ds="http://schemas.openxmlformats.org/officeDocument/2006/customXml" ds:itemID="{b64f03c1-3190-48d0-9b7d-b89cc5fba568}">
  <ds:schemaRefs/>
</ds:datastoreItem>
</file>

<file path=customXml/itemProps21.xml><?xml version="1.0" encoding="utf-8"?>
<ds:datastoreItem xmlns:ds="http://schemas.openxmlformats.org/officeDocument/2006/customXml" ds:itemID="{92c44ec8-48de-4b98-ba5c-c32c11816c1a}">
  <ds:schemaRefs/>
</ds:datastoreItem>
</file>

<file path=customXml/itemProps22.xml><?xml version="1.0" encoding="utf-8"?>
<ds:datastoreItem xmlns:ds="http://schemas.openxmlformats.org/officeDocument/2006/customXml" ds:itemID="{cf01c76d-491c-4eb3-ab49-f9b0bf6a3a6e}">
  <ds:schemaRefs/>
</ds:datastoreItem>
</file>

<file path=customXml/itemProps23.xml><?xml version="1.0" encoding="utf-8"?>
<ds:datastoreItem xmlns:ds="http://schemas.openxmlformats.org/officeDocument/2006/customXml" ds:itemID="{33b31dd7-346b-4722-8c45-ed0aa2bb5e3c}">
  <ds:schemaRefs/>
</ds:datastoreItem>
</file>

<file path=customXml/itemProps24.xml><?xml version="1.0" encoding="utf-8"?>
<ds:datastoreItem xmlns:ds="http://schemas.openxmlformats.org/officeDocument/2006/customXml" ds:itemID="{76e3c3af-df2d-4341-9abb-543c9e28d6fe}">
  <ds:schemaRefs/>
</ds:datastoreItem>
</file>

<file path=customXml/itemProps25.xml><?xml version="1.0" encoding="utf-8"?>
<ds:datastoreItem xmlns:ds="http://schemas.openxmlformats.org/officeDocument/2006/customXml" ds:itemID="{ff3c6641-8b6d-4533-b554-94dddcb657bb}">
  <ds:schemaRefs/>
</ds:datastoreItem>
</file>

<file path=customXml/itemProps26.xml><?xml version="1.0" encoding="utf-8"?>
<ds:datastoreItem xmlns:ds="http://schemas.openxmlformats.org/officeDocument/2006/customXml" ds:itemID="{43ff430d-fe97-461c-b33d-883e551340fd}">
  <ds:schemaRefs/>
</ds:datastoreItem>
</file>

<file path=customXml/itemProps27.xml><?xml version="1.0" encoding="utf-8"?>
<ds:datastoreItem xmlns:ds="http://schemas.openxmlformats.org/officeDocument/2006/customXml" ds:itemID="{049eadd6-3e96-4d0c-90fc-c96aee66e355}">
  <ds:schemaRefs/>
</ds:datastoreItem>
</file>

<file path=customXml/itemProps28.xml><?xml version="1.0" encoding="utf-8"?>
<ds:datastoreItem xmlns:ds="http://schemas.openxmlformats.org/officeDocument/2006/customXml" ds:itemID="{7b7bf7e8-0160-4666-9d25-f6220830ddd6}">
  <ds:schemaRefs/>
</ds:datastoreItem>
</file>

<file path=customXml/itemProps29.xml><?xml version="1.0" encoding="utf-8"?>
<ds:datastoreItem xmlns:ds="http://schemas.openxmlformats.org/officeDocument/2006/customXml" ds:itemID="{a219450c-84f6-4baf-b33e-07905af60fcb}">
  <ds:schemaRefs/>
</ds:datastoreItem>
</file>

<file path=customXml/itemProps3.xml><?xml version="1.0" encoding="utf-8"?>
<ds:datastoreItem xmlns:ds="http://schemas.openxmlformats.org/officeDocument/2006/customXml" ds:itemID="{e4795917-ede9-46ad-8da8-b6258907b86b}">
  <ds:schemaRefs/>
</ds:datastoreItem>
</file>

<file path=customXml/itemProps30.xml><?xml version="1.0" encoding="utf-8"?>
<ds:datastoreItem xmlns:ds="http://schemas.openxmlformats.org/officeDocument/2006/customXml" ds:itemID="{b641b470-609b-4e05-941a-b2779ee3e2e5}">
  <ds:schemaRefs/>
</ds:datastoreItem>
</file>

<file path=customXml/itemProps31.xml><?xml version="1.0" encoding="utf-8"?>
<ds:datastoreItem xmlns:ds="http://schemas.openxmlformats.org/officeDocument/2006/customXml" ds:itemID="{36844cbc-dff6-43b9-8544-75a5a16cc728}">
  <ds:schemaRefs/>
</ds:datastoreItem>
</file>

<file path=customXml/itemProps32.xml><?xml version="1.0" encoding="utf-8"?>
<ds:datastoreItem xmlns:ds="http://schemas.openxmlformats.org/officeDocument/2006/customXml" ds:itemID="{6e4387de-e39a-4704-81e5-2b050f9c402b}">
  <ds:schemaRefs/>
</ds:datastoreItem>
</file>

<file path=customXml/itemProps33.xml><?xml version="1.0" encoding="utf-8"?>
<ds:datastoreItem xmlns:ds="http://schemas.openxmlformats.org/officeDocument/2006/customXml" ds:itemID="{98edc56a-28fa-40d7-abfb-069068365bf2}">
  <ds:schemaRefs/>
</ds:datastoreItem>
</file>

<file path=customXml/itemProps34.xml><?xml version="1.0" encoding="utf-8"?>
<ds:datastoreItem xmlns:ds="http://schemas.openxmlformats.org/officeDocument/2006/customXml" ds:itemID="{fee2b282-c20e-460c-9354-54f54389072b}">
  <ds:schemaRefs/>
</ds:datastoreItem>
</file>

<file path=customXml/itemProps35.xml><?xml version="1.0" encoding="utf-8"?>
<ds:datastoreItem xmlns:ds="http://schemas.openxmlformats.org/officeDocument/2006/customXml" ds:itemID="{0e4e0f6f-96af-48f1-94af-448464c93b87}">
  <ds:schemaRefs/>
</ds:datastoreItem>
</file>

<file path=customXml/itemProps36.xml><?xml version="1.0" encoding="utf-8"?>
<ds:datastoreItem xmlns:ds="http://schemas.openxmlformats.org/officeDocument/2006/customXml" ds:itemID="{6a9281e3-16e9-4eeb-80f2-ed28cc41b092}">
  <ds:schemaRefs/>
</ds:datastoreItem>
</file>

<file path=customXml/itemProps37.xml><?xml version="1.0" encoding="utf-8"?>
<ds:datastoreItem xmlns:ds="http://schemas.openxmlformats.org/officeDocument/2006/customXml" ds:itemID="{80094b27-ba2a-423f-a0ed-5758b9b6def5}">
  <ds:schemaRefs/>
</ds:datastoreItem>
</file>

<file path=customXml/itemProps38.xml><?xml version="1.0" encoding="utf-8"?>
<ds:datastoreItem xmlns:ds="http://schemas.openxmlformats.org/officeDocument/2006/customXml" ds:itemID="{e7737ab0-0ed7-40d8-b06b-66b338e1acee}">
  <ds:schemaRefs/>
</ds:datastoreItem>
</file>

<file path=customXml/itemProps39.xml><?xml version="1.0" encoding="utf-8"?>
<ds:datastoreItem xmlns:ds="http://schemas.openxmlformats.org/officeDocument/2006/customXml" ds:itemID="{3617f608-0b25-430f-bd3c-ab9d5452c795}">
  <ds:schemaRefs/>
</ds:datastoreItem>
</file>

<file path=customXml/itemProps4.xml><?xml version="1.0" encoding="utf-8"?>
<ds:datastoreItem xmlns:ds="http://schemas.openxmlformats.org/officeDocument/2006/customXml" ds:itemID="{344358aa-5505-4cf2-bd13-0368daa1ee7d}">
  <ds:schemaRefs/>
</ds:datastoreItem>
</file>

<file path=customXml/itemProps40.xml><?xml version="1.0" encoding="utf-8"?>
<ds:datastoreItem xmlns:ds="http://schemas.openxmlformats.org/officeDocument/2006/customXml" ds:itemID="{b2abe145-cdf5-4b3d-95f8-86d87cb83bf0}">
  <ds:schemaRefs/>
</ds:datastoreItem>
</file>

<file path=customXml/itemProps41.xml><?xml version="1.0" encoding="utf-8"?>
<ds:datastoreItem xmlns:ds="http://schemas.openxmlformats.org/officeDocument/2006/customXml" ds:itemID="{4e9cdd26-f4ee-465f-b515-d76c9bef094f}">
  <ds:schemaRefs/>
</ds:datastoreItem>
</file>

<file path=customXml/itemProps5.xml><?xml version="1.0" encoding="utf-8"?>
<ds:datastoreItem xmlns:ds="http://schemas.openxmlformats.org/officeDocument/2006/customXml" ds:itemID="{8e8cc33b-a0bf-4efc-b739-7d868bf84a30}">
  <ds:schemaRefs/>
</ds:datastoreItem>
</file>

<file path=customXml/itemProps6.xml><?xml version="1.0" encoding="utf-8"?>
<ds:datastoreItem xmlns:ds="http://schemas.openxmlformats.org/officeDocument/2006/customXml" ds:itemID="{785d95cc-de09-4a2d-b7a5-6ceff81772a9}">
  <ds:schemaRefs/>
</ds:datastoreItem>
</file>

<file path=customXml/itemProps7.xml><?xml version="1.0" encoding="utf-8"?>
<ds:datastoreItem xmlns:ds="http://schemas.openxmlformats.org/officeDocument/2006/customXml" ds:itemID="{00f5d920-517a-46ad-8518-5807be4e691c}">
  <ds:schemaRefs/>
</ds:datastoreItem>
</file>

<file path=customXml/itemProps8.xml><?xml version="1.0" encoding="utf-8"?>
<ds:datastoreItem xmlns:ds="http://schemas.openxmlformats.org/officeDocument/2006/customXml" ds:itemID="{1edd05af-5e29-4e97-869a-c0a8e72f8369}">
  <ds:schemaRefs/>
</ds:datastoreItem>
</file>

<file path=customXml/itemProps9.xml><?xml version="1.0" encoding="utf-8"?>
<ds:datastoreItem xmlns:ds="http://schemas.openxmlformats.org/officeDocument/2006/customXml" ds:itemID="{b8ecc558-2287-4536-9a57-12b70b6d9ca4}">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2024-02-04T17:00:00Z</dcterms:created>
  <dc:creator>Administrator</dc:creator>
  <cp:lastModifiedBy>Administrator</cp:lastModifiedBy>
  <dcterms:modified xsi:type="dcterms:W3CDTF">2024-02-20T05:01:14Z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