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唐山市委统战部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201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8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年部门预算信息公开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《预算法》、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《地方预决算公开操作规程》和《河北省省级预算公开办法》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规定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，现将201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年部门预算公开如下：</w:t>
      </w:r>
    </w:p>
    <w:p>
      <w:pPr>
        <w:ind w:firstLine="64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一、部门职责及机构设置情况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b/>
          <w:color w:val="auto"/>
          <w:sz w:val="32"/>
          <w:szCs w:val="32"/>
        </w:rPr>
        <w:t>部门</w:t>
      </w:r>
      <w:r>
        <w:rPr>
          <w:rFonts w:ascii="Times New Roman" w:hAnsi="Times New Roman" w:eastAsia="方正仿宋_GBK" w:cs="Times New Roman"/>
          <w:b/>
          <w:color w:val="auto"/>
          <w:sz w:val="32"/>
          <w:szCs w:val="32"/>
        </w:rPr>
        <w:t>职责：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根据《中国共产党唐山市委员会统战部职能配置、内设机构和人员编制方案》规定，中国共产党唐山市委员会统战部的主要职责是：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中共唐山市委统战部是唐山市委主管统一战线工作的职能部门，是市委在统战工作方面的参谋助手。作为全市统一战线工作的职能和协调部门，主要负责统一战线理论、方针、政策的宣传和贯彻；检查统战政策执行情况，对统一战线的新情况、新问题搞好调查研究，向市委或上级部门提出开展统战工作的意见和建议；负责全市民主党派、民族宗教、海外联谊、党外干部和党外知识分子工作；对各县（市）区、国有大中型企业、大中专院校和科研院所的统战工作进行指导。</w:t>
      </w:r>
    </w:p>
    <w:p>
      <w:pPr>
        <w:ind w:firstLine="640" w:firstLineChars="200"/>
        <w:rPr>
          <w:rFonts w:ascii="Times New Roman" w:hAnsi="Times New Roman" w:eastAsia="方正仿宋_GBK" w:cs="Times New Roman"/>
          <w:b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b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方正仿宋_GBK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color w:val="auto"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Times New Roman"/>
          <w:color w:val="auto"/>
          <w:sz w:val="32"/>
          <w:szCs w:val="24"/>
        </w:rPr>
      </w:pPr>
      <w:r>
        <w:rPr>
          <w:rFonts w:ascii="Times New Roman" w:hAnsi="Times New Roman" w:eastAsia="方正小标宋_GBK" w:cs="Times New Roman"/>
          <w:color w:val="auto"/>
          <w:sz w:val="32"/>
          <w:szCs w:val="24"/>
        </w:rPr>
        <w:t>部门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24"/>
        </w:rPr>
        <w:t>机构设置情况</w:t>
      </w:r>
    </w:p>
    <w:tbl>
      <w:tblPr>
        <w:tblStyle w:val="5"/>
        <w:tblW w:w="9729" w:type="dxa"/>
        <w:jc w:val="center"/>
        <w:tblInd w:w="-5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4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书宋_GBK" w:cs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书宋_GBK" w:cs="Times New Roman"/>
                <w:color w:val="auto"/>
                <w:szCs w:val="24"/>
                <w:lang w:eastAsia="zh-CN"/>
              </w:rPr>
              <w:t>中共唐山市委统战部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正</w:t>
            </w:r>
            <w:r>
              <w:rPr>
                <w:rFonts w:hint="eastAsia" w:ascii="方正书宋_GBK" w:eastAsia="方正书宋_GBK"/>
                <w:color w:val="auto"/>
                <w:lang w:eastAsia="zh-CN"/>
              </w:rPr>
              <w:t>处</w:t>
            </w:r>
            <w:r>
              <w:rPr>
                <w:rFonts w:hint="eastAsia" w:ascii="方正书宋_GBK" w:eastAsia="方正书宋_GBK"/>
                <w:color w:val="auto"/>
              </w:rPr>
              <w:t>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ind w:firstLine="64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二、部门预算安排的总体情况</w:t>
      </w:r>
    </w:p>
    <w:p>
      <w:pPr>
        <w:ind w:firstLine="64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按照预算管理有关规定，目前我省部门预算的编制实行综合预算制度，即全部收入和支出都反映的预算中。河北省及所属事业单位的收支包含在部门预算中。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收入说明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反映本部门当年全部收入，2018年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1388.26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，全部为一般公共预算收入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支出说明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收支预算总表支出栏、基本支出表、项目支出表按经济分类和支出功能分类科目编制，反映中共唐山市委统战部年度部门预算中支出预算的总体情况。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1388.26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其中基本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1388.26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包括人员经费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773.35万元和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614.91万元；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1"/>
        </w:numPr>
        <w:ind w:firstLine="640" w:firstLineChars="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比上年增减情况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2018年部门预算较2017年减少92.57万元，其中：基本支出减少92.57万元，主要原因是减少人员和公用经费。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机关运行经费共计安排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156.51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保证机关正常运转的办公费、印刷费、邮电费、差旅费、会议费、福利费、日常维修费、一般设备购置费、物业管理费、公务车运行维护费等支出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四、财政拨款</w:t>
      </w:r>
      <w:r>
        <w:rPr>
          <w:rFonts w:ascii="黑体" w:hAnsi="黑体" w:eastAsia="黑体" w:cs="Times New Roman"/>
          <w:color w:val="auto"/>
          <w:sz w:val="32"/>
          <w:szCs w:val="32"/>
        </w:rPr>
        <w:t>“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三公</w:t>
      </w:r>
      <w:r>
        <w:rPr>
          <w:rFonts w:ascii="黑体" w:hAnsi="黑体" w:eastAsia="黑体" w:cs="Times New Roman"/>
          <w:color w:val="auto"/>
          <w:sz w:val="32"/>
          <w:szCs w:val="32"/>
        </w:rPr>
        <w:t>”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经费预算情况及增减变化原因</w:t>
      </w:r>
    </w:p>
    <w:p>
      <w:pPr>
        <w:widowControl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年，财政拨款“三公”经费预算安排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其增减变化情况如下：</w:t>
      </w:r>
    </w:p>
    <w:p>
      <w:pPr>
        <w:widowControl/>
        <w:spacing w:before="0" w:beforeAutospacing="0" w:after="0" w:afterAutospacing="0" w:line="405" w:lineRule="atLeast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一、公用用车购置及运行维护费：2017年、2018年均未安排公务用车购置费。公务用车运行维护费2017年与2018年预算安排均为26.4万元。</w:t>
      </w:r>
    </w:p>
    <w:p>
      <w:pPr>
        <w:widowControl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二、公务接待费：2018年初预算安排1.75万元，2017年预算安排1.2万元。比2017年度增加0.55万元,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增加原因：</w:t>
      </w:r>
      <w:r>
        <w:rPr>
          <w:rFonts w:hint="eastAsia" w:ascii="仿宋" w:hAnsi="仿宋" w:eastAsia="仿宋"/>
          <w:sz w:val="32"/>
          <w:szCs w:val="32"/>
        </w:rPr>
        <w:t>正常公用经费提高，相应的公务接待费也提高了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因公出国（境）费：2017年追加1.36万元，2018年0万元，减少原因：预算没有安排。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五、绩效预算信息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  <w:bookmarkStart w:id="0" w:name="_Toc471398463"/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sz w:val="32"/>
          <w:szCs w:val="32"/>
        </w:rPr>
        <w:t>总体绩效目标：</w:t>
      </w:r>
      <w:bookmarkStart w:id="6" w:name="_GoBack"/>
      <w:bookmarkEnd w:id="6"/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全市统一战线工作的总体思路是：以十九大精神作为指导，全面落实十九大对统战工作的新要求新部署，巩固统一战线各领域工作成果，围绕“三个努力建成”、“三个走在前列”和“两个率先”要求，突出抓好政治引领、汇智聚力、夯实基础三面工作，扎实推进统战工作高质量发展，不断开创新时代统战工作新局面。</w:t>
      </w:r>
    </w:p>
    <w:p>
      <w:pPr>
        <w:ind w:firstLine="643" w:firstLineChars="200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实现年度发展规划目标的保障措施</w:t>
      </w:r>
    </w:p>
    <w:p>
      <w:pPr>
        <w:adjustRightInd w:val="0"/>
        <w:snapToGrid w:val="0"/>
        <w:spacing w:line="360" w:lineRule="auto"/>
        <w:ind w:firstLine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1、争取党委重视，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营造统战工作有效开展的外部环境，构建大统战工作格局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2、健全制度，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规范各领域统战工作有序开展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3、加大培训教育的力度，在实践中不断提高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统战成员和</w:t>
      </w:r>
      <w:r>
        <w:rPr>
          <w:rFonts w:hint="eastAsia" w:ascii="仿宋" w:hAnsi="仿宋" w:eastAsia="仿宋" w:cs="仿宋"/>
          <w:sz w:val="32"/>
          <w:szCs w:val="32"/>
        </w:rPr>
        <w:t>统战干部的综合素质。</w:t>
      </w:r>
      <w:bookmarkEnd w:id="0"/>
    </w:p>
    <w:p>
      <w:pPr>
        <w:adjustRightInd w:val="0"/>
        <w:snapToGrid w:val="0"/>
        <w:spacing w:line="360" w:lineRule="auto"/>
        <w:ind w:firstLine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948" w:firstLineChars="295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部门职责及工作活动绩效目标指标：</w:t>
      </w:r>
    </w:p>
    <w:p>
      <w:pPr>
        <w:adjustRightInd w:val="0"/>
        <w:snapToGrid w:val="0"/>
        <w:spacing w:line="360" w:lineRule="auto"/>
        <w:ind w:firstLine="948" w:firstLineChars="295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方正小标宋_GBK" w:eastAsia="方正小标宋_GBK"/>
          <w:sz w:val="32"/>
        </w:rPr>
      </w:pPr>
      <w:bookmarkStart w:id="1" w:name="_Toc475525904"/>
      <w:bookmarkStart w:id="2" w:name="_Toc475525905"/>
      <w:r>
        <w:rPr>
          <w:rFonts w:hint="eastAsia" w:ascii="方正小标宋_GBK" w:eastAsia="方正小标宋_GBK"/>
          <w:sz w:val="32"/>
        </w:rPr>
        <w:t>部门职责-工作活动绩效目标</w:t>
      </w:r>
      <w:bookmarkEnd w:id="1"/>
    </w:p>
    <w:tbl>
      <w:tblPr>
        <w:tblStyle w:val="5"/>
        <w:tblW w:w="1393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  <w:lang w:eastAsia="zh-CN"/>
              </w:rPr>
              <w:t>唐山</w:t>
            </w:r>
            <w:r>
              <w:rPr>
                <w:rFonts w:hint="eastAsia" w:ascii="方正小标宋_GBK" w:eastAsia="方正小标宋_GBK"/>
                <w:sz w:val="24"/>
              </w:rPr>
              <w:t>市委统战部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开展统战工作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lang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458.4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通过调查研究，向党委全面反映统一战线情况，提出意见和建议，组织协调统一战线各方面的关系</w:t>
            </w:r>
            <w:r>
              <w:rPr>
                <w:rFonts w:hint="eastAsia" w:ascii="方正书宋_GBK" w:eastAsia="方正书宋_GBK"/>
                <w:lang w:eastAsia="zh-CN"/>
              </w:rPr>
              <w:t>，做好各领域统战工作</w:t>
            </w:r>
            <w:r>
              <w:rPr>
                <w:rFonts w:hint="eastAsia" w:ascii="方正书宋_GBK" w:eastAsia="方正书宋_GBK"/>
              </w:rPr>
              <w:t>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了解情况，掌握政策，协调关系，安排人事，增进共识，加强团结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民主党派和无党派代表人士工作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highlight w:val="yellow"/>
                <w:lang w:val="en-US" w:eastAsia="zh-CN"/>
              </w:rPr>
            </w:pPr>
            <w:r>
              <w:rPr>
                <w:rFonts w:hint="eastAsia" w:ascii="方正书宋_GBK" w:eastAsia="方正书宋_GBK"/>
                <w:highlight w:val="none"/>
                <w:lang w:val="en-US" w:eastAsia="zh-CN"/>
              </w:rPr>
              <w:t>238.08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联系民主党派和无党派代表人士，反映意见建议；贯彻执行党对民主党派的工作方针和政策；做好有关多党合作、政治协商工作；协助有关部门落实民主党派和无党派代表人士参政议政、民主监督的各项措施；协助各民主党派加强自身建设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不断推进多党合作和政治协商的制度化、规范化，协助民主党派建设高素质干部队伍，不断提高参政议政、民主监督水平。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推进政党协商制度建设工作完成率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highlight w:val="yellow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民主党派履行职能有关支持工作完成率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highlight w:val="yellow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提交市委市政府党外人士建言数量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highlight w:val="yellow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民主党派加强自身建设协助工作完成率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党外知识分子统战工作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highlight w:val="yellow"/>
                <w:lang w:eastAsia="zh-CN"/>
              </w:rPr>
            </w:pPr>
            <w:r>
              <w:rPr>
                <w:rFonts w:hint="eastAsia" w:ascii="方正书宋_GBK" w:eastAsia="方正书宋_GBK"/>
                <w:highlight w:val="none"/>
                <w:lang w:val="en-US" w:eastAsia="zh-CN"/>
              </w:rPr>
              <w:t>23.8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调查研究党外知识分子的情况，反映意见，协调关系，提出政策建议，联系党外知识分子代表人士。</w:t>
            </w:r>
            <w:r>
              <w:rPr>
                <w:rFonts w:hint="eastAsia" w:ascii="方正书宋_GBK" w:eastAsia="方正书宋_GBK"/>
                <w:lang w:eastAsia="zh-CN"/>
              </w:rPr>
              <w:t>探索新的社会阶层人士统战工作。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政治引领，培养人才，建言献策，服务社会，联谊交友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组织开展培训、联谊等活动完成率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综合业务管理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lang w:eastAsia="zh-CN"/>
              </w:rPr>
            </w:pPr>
            <w:r>
              <w:rPr>
                <w:rFonts w:hint="eastAsia" w:ascii="方正书宋_GBK" w:eastAsia="方正书宋_GBK"/>
                <w:highlight w:val="none"/>
                <w:lang w:val="en-US" w:eastAsia="zh-CN"/>
              </w:rPr>
              <w:t>53.93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负责党外代表人士在人大、政协安排的有关工作，做好党外代表人士和后备干部队伍建设工作，协助民主党派做好干部管理工作。调查研究非公有制经济人士情况</w:t>
            </w:r>
            <w:r>
              <w:rPr>
                <w:rFonts w:hint="eastAsia" w:ascii="方正书宋_GBK" w:eastAsia="方正书宋_GBK"/>
                <w:lang w:eastAsia="zh-CN"/>
              </w:rPr>
              <w:t>。助力优化营商环境，服务构建“亲”“清”新型政商关系；</w:t>
            </w:r>
            <w:r>
              <w:rPr>
                <w:rFonts w:hint="eastAsia" w:ascii="方正书宋_GBK" w:eastAsia="方正书宋_GBK"/>
              </w:rPr>
              <w:t>提出政策建议，团结、服务、引导、教育非公有制经济人士，</w:t>
            </w:r>
            <w:r>
              <w:rPr>
                <w:rFonts w:hint="eastAsia" w:ascii="方正书宋_GBK" w:eastAsia="方正书宋_GBK"/>
                <w:lang w:eastAsia="zh-CN"/>
              </w:rPr>
              <w:t>组织开展理想观念教育实践活动，</w:t>
            </w:r>
            <w:r>
              <w:rPr>
                <w:rFonts w:hint="eastAsia" w:ascii="方正书宋_GBK" w:eastAsia="方正书宋_GBK"/>
              </w:rPr>
              <w:t>开展思想政治工作。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以政治坚定、业绩突出、群众认同为标准，建设一支数量充足、结构合理、素质优良、作用突出的党外代表人士队伍。增强党外干部政治把握能力、参政议政能力、组织领导能力、合作共事能力和解决自身问题能力。促进非公有制经济健康发展和非公有制经济人士健康成长</w:t>
            </w:r>
            <w:r>
              <w:rPr>
                <w:rFonts w:hint="eastAsia" w:ascii="方正书宋_GBK" w:eastAsia="方正书宋_GBK"/>
                <w:lang w:eastAsia="zh-CN"/>
              </w:rPr>
              <w:t>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党外代表人士政治安排工作完成率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党外后备干部队伍建设工作完成率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引导非公人士的工作完成情况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lang w:eastAsia="zh-CN"/>
              </w:rPr>
            </w:pPr>
            <w:r>
              <w:rPr>
                <w:rFonts w:hint="eastAsia" w:ascii="方正书宋_GBK" w:eastAsia="方正书宋_GBK"/>
                <w:lang w:eastAsia="zh-CN"/>
              </w:rPr>
              <w:t>综合业务管理工作完成率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</w:t>
            </w:r>
            <w:r>
              <w:rPr>
                <w:rFonts w:ascii="方正书宋_GBK" w:eastAsia="方正书宋_GBK"/>
              </w:rPr>
              <w:t>80%</w:t>
            </w:r>
          </w:p>
        </w:tc>
      </w:tr>
      <w:bookmarkEnd w:id="2"/>
    </w:tbl>
    <w:p>
      <w:pPr>
        <w:adjustRightInd w:val="0"/>
        <w:snapToGrid w:val="0"/>
        <w:spacing w:line="360" w:lineRule="auto"/>
        <w:jc w:val="left"/>
        <w:rPr>
          <w:rFonts w:ascii="宋体" w:eastAsia="宋体" w:cs="宋体"/>
          <w:color w:val="auto"/>
          <w:kern w:val="0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六、政府采购预算情况</w:t>
      </w:r>
    </w:p>
    <w:p>
      <w:pPr>
        <w:outlineLvl w:val="0"/>
        <w:rPr>
          <w:rFonts w:ascii="Times New Roman" w:hAnsi="Times New Roman" w:eastAsia="方正仿宋_GBK" w:cs="Times New Roman"/>
          <w:color w:val="auto"/>
          <w:sz w:val="32"/>
          <w:szCs w:val="24"/>
        </w:rPr>
      </w:pPr>
      <w:bookmarkStart w:id="3" w:name="_Toc471398468"/>
      <w:r>
        <w:rPr>
          <w:rFonts w:ascii="Times New Roman" w:hAnsi="Times New Roman" w:eastAsia="方正仿宋_GBK" w:cs="Times New Roman"/>
          <w:color w:val="auto"/>
          <w:sz w:val="32"/>
          <w:szCs w:val="24"/>
        </w:rPr>
        <w:t xml:space="preserve">   201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32"/>
          <w:szCs w:val="24"/>
        </w:rPr>
        <w:t>年，安排政府采购预算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val="en-US" w:eastAsia="zh-CN"/>
        </w:rPr>
        <w:t>9.27</w:t>
      </w:r>
      <w:r>
        <w:rPr>
          <w:rFonts w:ascii="Times New Roman" w:hAnsi="Times New Roman" w:eastAsia="方正仿宋_GBK" w:cs="Times New Roman"/>
          <w:color w:val="auto"/>
          <w:sz w:val="32"/>
          <w:szCs w:val="24"/>
        </w:rPr>
        <w:t>万元。具体内容见下表。</w:t>
      </w:r>
      <w:bookmarkEnd w:id="3"/>
    </w:p>
    <w:p>
      <w:pPr>
        <w:pStyle w:val="3"/>
      </w:pPr>
      <w:bookmarkStart w:id="4" w:name="_Toc383873147"/>
      <w:bookmarkStart w:id="5" w:name="_Toc476060106"/>
      <w:r>
        <w:rPr>
          <w:rFonts w:hint="eastAsia"/>
          <w:color w:val="auto"/>
        </w:rPr>
        <w:t>部门政府采购预算</w:t>
      </w:r>
      <w:bookmarkEnd w:id="4"/>
      <w:bookmarkEnd w:id="5"/>
      <w:r>
        <w:rPr>
          <w:rFonts w:hint="eastAsia"/>
          <w:color w:val="auto"/>
          <w:sz w:val="28"/>
        </w:rPr>
        <w:t xml:space="preserve">           </w:t>
      </w:r>
      <w:r>
        <w:rPr>
          <w:rFonts w:hint="eastAsia"/>
          <w:sz w:val="28"/>
        </w:rPr>
        <w:t xml:space="preserve">           </w:t>
      </w:r>
      <w:r>
        <w:t xml:space="preserve">                                                </w:t>
      </w:r>
    </w:p>
    <w:tbl>
      <w:tblPr>
        <w:tblStyle w:val="5"/>
        <w:tblW w:w="15222" w:type="dxa"/>
        <w:jc w:val="center"/>
        <w:tblInd w:w="-1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992"/>
        <w:gridCol w:w="1701"/>
        <w:gridCol w:w="710"/>
        <w:gridCol w:w="1371"/>
        <w:gridCol w:w="1276"/>
        <w:gridCol w:w="850"/>
        <w:gridCol w:w="567"/>
        <w:gridCol w:w="709"/>
        <w:gridCol w:w="498"/>
        <w:gridCol w:w="980"/>
        <w:gridCol w:w="980"/>
        <w:gridCol w:w="980"/>
        <w:gridCol w:w="980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tblHeader/>
          <w:jc w:val="center"/>
        </w:trPr>
        <w:tc>
          <w:tcPr>
            <w:tcW w:w="1032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401中国共产党唐山市委员会统战部</w:t>
            </w:r>
          </w:p>
        </w:tc>
        <w:tc>
          <w:tcPr>
            <w:tcW w:w="490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tblHeader/>
          <w:jc w:val="center"/>
        </w:trPr>
        <w:tc>
          <w:tcPr>
            <w:tcW w:w="164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所属项目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政府采购目录序号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采购物品名称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产品规格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4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90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政府采购金额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tblHeader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921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tblHeader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其他来源收入安排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tblHeader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合计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9.27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9.27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纪检组办公家具及设备购置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A020204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多功能一体机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纪检组办公家具及设备购置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A060205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木制台、桌类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纪检组办公家具及设备购置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A02010104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1.35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1.35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纪检组办公家具及设备购置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A02010105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便携式计算机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纪检组办公家具及设备购置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A0206180203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纪检组办公家具及设备购置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A0201060102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激光打印机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纪检组办公家具及设备购置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A02021101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碎纸机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纪检组办公家具及设备购置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A060302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木骨架为主的椅凳类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纪检组办公家具及设备购置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A02061807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饮水器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纪检组办公家具及设备购置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A060503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金属质柜类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A0206180203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1.20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A020204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多功能一体机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A060302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木骨架为主的椅凳类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A020202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投影仪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A0201060102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激光打印机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0.20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A02010105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便携式计算机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A060503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金属质柜类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A060205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木制台、桌类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中国共产党唐山市委员会统战部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2013402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办公家具及设备购置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A02010104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2.25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2.25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黑体" w:hAnsi="黑体" w:eastAsia="黑体" w:cs="Times New Roman"/>
          <w:color w:val="FF000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Times New Roman"/>
          <w:color w:val="FF0000"/>
          <w:sz w:val="32"/>
          <w:szCs w:val="32"/>
        </w:rPr>
      </w:pP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七、国有资产信息</w:t>
      </w:r>
    </w:p>
    <w:p>
      <w:pPr>
        <w:ind w:firstLine="640"/>
        <w:rPr>
          <w:rFonts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我单位2017年底固定资产总额为3374980.11元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（详见下表），本年度各单位拟购置固定资产主要为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计算机、一体机、投影仪、打印机、木制台、桌、空调、碎纸机、传真机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等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，共计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9.27万元，均是20万元以下的设备。本年预算拟购置的固定资产为其他固定资产，共计9.27万元,已列入政府采购预算表。</w:t>
      </w:r>
    </w:p>
    <w:tbl>
      <w:tblPr>
        <w:tblStyle w:val="5"/>
        <w:tblW w:w="134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河北省省直部门固定资产占用情况表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编制部门：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截止时间：201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年12月31日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项   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价值（金额单位：万元）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 xml:space="preserve">  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3、单价在20万元以上设备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128.5</w:t>
            </w:r>
          </w:p>
        </w:tc>
      </w:tr>
    </w:tbl>
    <w:p>
      <w:pPr>
        <w:numPr>
          <w:ilvl w:val="0"/>
          <w:numId w:val="2"/>
        </w:numPr>
        <w:autoSpaceDE w:val="0"/>
        <w:autoSpaceDN w:val="0"/>
        <w:adjustRightInd w:val="0"/>
        <w:ind w:left="198" w:firstLine="640" w:firstLineChars="200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名词解释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20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1、一般预算收入：财政当年拨付的资金。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20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2、基本支出：为保障机构正常运转，完成日常工作任务，而发生的人员支出和公用支出。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20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3、项目支出：是指在基本支出之外，为完成特定行政任务和事业发展目标，而发生的支出。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20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机关运行费：是指为保证行政单位（包括参照公务员管理的事业单位）运行，用于购买货物和服务的各项资金。主要包括：办公费、印刷费，水费、电费、邮电费、福利费、日常维修费、办公取暖费、办公物业服务费、公务车运行维护费等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200" w:firstLine="643" w:firstLineChars="200"/>
        <w:jc w:val="left"/>
        <w:rPr>
          <w:rFonts w:hint="eastAsia" w:ascii="宋体-方正超大字符集" w:hAnsi="宋体-方正超大字符集" w:eastAsia="宋体-方正超大字符集" w:cs="宋体-方正超大字符集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color w:val="auto"/>
          <w:sz w:val="32"/>
          <w:szCs w:val="32"/>
          <w:lang w:val="en-US" w:eastAsia="zh-CN"/>
        </w:rPr>
        <w:t>九、其他需要说明的事项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20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0477B0"/>
    <w:rsid w:val="04D33DAC"/>
    <w:rsid w:val="0AD31E47"/>
    <w:rsid w:val="149924D2"/>
    <w:rsid w:val="20564F48"/>
    <w:rsid w:val="25E33448"/>
    <w:rsid w:val="353238CA"/>
    <w:rsid w:val="36142239"/>
    <w:rsid w:val="36280A0F"/>
    <w:rsid w:val="3A482471"/>
    <w:rsid w:val="3F662B6E"/>
    <w:rsid w:val="46946E1F"/>
    <w:rsid w:val="4B203375"/>
    <w:rsid w:val="4DD74DE4"/>
    <w:rsid w:val="532C3339"/>
    <w:rsid w:val="5DE64B31"/>
    <w:rsid w:val="5F5E0A9F"/>
    <w:rsid w:val="60444D25"/>
    <w:rsid w:val="6E377E2D"/>
    <w:rsid w:val="78704335"/>
    <w:rsid w:val="7BDC4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24"/>
    </w:rPr>
  </w:style>
  <w:style w:type="paragraph" w:styleId="3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?451456</cp:lastModifiedBy>
  <cp:lastPrinted>2017-05-05T10:23:00Z</cp:lastPrinted>
  <dcterms:modified xsi:type="dcterms:W3CDTF">2018-03-21T09:08:05Z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